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C796C" w14:textId="77777777" w:rsidR="003C35A3" w:rsidRPr="00837290" w:rsidRDefault="003C35A3" w:rsidP="003C35A3">
      <w:pPr>
        <w:rPr>
          <w:rFonts w:ascii="Times New Roman" w:hAnsi="Times New Roman" w:cs="Times New Roman"/>
        </w:rPr>
      </w:pPr>
    </w:p>
    <w:p w14:paraId="791AD1DD" w14:textId="77777777" w:rsidR="003C35A3" w:rsidRPr="00837290" w:rsidRDefault="003C35A3" w:rsidP="003C35A3">
      <w:pPr>
        <w:rPr>
          <w:rFonts w:ascii="Times New Roman" w:hAnsi="Times New Roman" w:cs="Times New Roman"/>
        </w:rPr>
      </w:pPr>
    </w:p>
    <w:p w14:paraId="14F1FCE1" w14:textId="48F730DD" w:rsidR="003C35A3" w:rsidRDefault="003C35A3" w:rsidP="003C35A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Use It or Lose It</w:t>
      </w:r>
    </w:p>
    <w:p w14:paraId="7DFB3256" w14:textId="77777777" w:rsidR="003C35A3" w:rsidRPr="00837290" w:rsidRDefault="003C35A3" w:rsidP="003C35A3">
      <w:pPr>
        <w:jc w:val="center"/>
        <w:rPr>
          <w:rFonts w:ascii="Times New Roman" w:hAnsi="Times New Roman" w:cs="Times New Roman"/>
          <w:smallCaps/>
        </w:rPr>
      </w:pPr>
    </w:p>
    <w:p w14:paraId="28C70581" w14:textId="77777777" w:rsidR="003C35A3" w:rsidRPr="00837290" w:rsidRDefault="003C35A3" w:rsidP="003C35A3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837290">
        <w:rPr>
          <w:rFonts w:ascii="Times New Roman" w:hAnsi="Times New Roman" w:cs="Times New Roman"/>
          <w:smallCaps/>
          <w:sz w:val="20"/>
          <w:szCs w:val="20"/>
        </w:rPr>
        <w:t xml:space="preserve">by </w:t>
      </w:r>
    </w:p>
    <w:p w14:paraId="762AEDDE" w14:textId="77777777" w:rsidR="003C35A3" w:rsidRPr="00837290" w:rsidRDefault="003C35A3" w:rsidP="003C35A3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14:paraId="67F44CD7" w14:textId="77777777" w:rsidR="003C35A3" w:rsidRPr="00837290" w:rsidRDefault="003C35A3" w:rsidP="003C35A3">
      <w:pPr>
        <w:jc w:val="center"/>
        <w:rPr>
          <w:rFonts w:ascii="Times New Roman" w:hAnsi="Times New Roman" w:cs="Times New Roman"/>
          <w:smallCaps/>
        </w:rPr>
      </w:pPr>
      <w:r w:rsidRPr="00837290">
        <w:rPr>
          <w:rFonts w:ascii="Times New Roman" w:hAnsi="Times New Roman" w:cs="Times New Roman"/>
          <w:smallCaps/>
        </w:rPr>
        <w:t>Rabbi Eliyahu Safran</w:t>
      </w:r>
    </w:p>
    <w:p w14:paraId="2234C33A" w14:textId="77777777" w:rsidR="003C35A3" w:rsidRDefault="003C35A3" w:rsidP="003C35A3"/>
    <w:p w14:paraId="214FA2A2" w14:textId="77777777" w:rsidR="003C35A3" w:rsidRDefault="003C35A3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326A41" w14:textId="77777777" w:rsidR="003C35A3" w:rsidRDefault="003C35A3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“Use it or lose it.”  </w:t>
      </w:r>
    </w:p>
    <w:p w14:paraId="65329219" w14:textId="23B14045" w:rsidR="003C35A3" w:rsidRDefault="003C35A3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an admonition we 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>know only too 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It tells us that if we don’t 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continually hone </w:t>
      </w:r>
      <w:r w:rsidR="00FE63C6">
        <w:rPr>
          <w:rFonts w:ascii="Times New Roman" w:eastAsia="Times New Roman" w:hAnsi="Times New Roman" w:cs="Times New Roman"/>
          <w:color w:val="000000"/>
          <w:sz w:val="24"/>
          <w:szCs w:val="24"/>
        </w:rPr>
        <w:t>a skill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we gradually (or precipitously!) lose the ability to do it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whether “it” is taking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jump shot in basketball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solving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differential equations or playing piano concertos.  If </w:t>
      </w:r>
      <w:r w:rsidR="00FE6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don’t practice our knowledge and skills, they fade.</w:t>
      </w:r>
    </w:p>
    <w:p w14:paraId="0EBA4598" w14:textId="54C9AB56" w:rsidR="00475FBE" w:rsidRDefault="003C35A3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in most things, th</w:t>
      </w:r>
      <w:r w:rsidR="0047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modern warning is </w:t>
      </w:r>
      <w:r w:rsidR="00FE6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weak echo of Torah wisdom</w:t>
      </w:r>
      <w:r w:rsidR="00475FBE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17BC0C33" w14:textId="7AF5EBC6" w:rsidR="000B688A" w:rsidRPr="000B688A" w:rsidRDefault="00475FBE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Parashat Ekev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 read 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 paragraph of the Shema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was introduced in last week’s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parasha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In the opening paragraph of the Shema, we are told to accept and reaffirm God’s oneness and sovereignty.  In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Ekev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lesson is on the requirement of mitzvah observance; on our obligation to perform all mitzvot with absolute dedication.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Ekev</w:t>
      </w:r>
      <w:r w:rsidR="00FE6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E63C6">
        <w:rPr>
          <w:rFonts w:ascii="Times New Roman" w:eastAsia="Times New Roman" w:hAnsi="Times New Roman" w:cs="Times New Roman"/>
          <w:color w:val="000000"/>
          <w:sz w:val="24"/>
          <w:szCs w:val="24"/>
        </w:rPr>
        <w:t>proclaims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vehay</w:t>
      </w:r>
      <w:r w:rsidR="00A1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im shamoa ti’shemu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literally, “if you hearken, you will hearken”.   More than the powerful call to serve 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implicit in the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pasuk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 are struck by the </w:t>
      </w:r>
      <w:r w:rsidR="00615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repetition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verb, to hearken.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Shamoa ti’shemu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E6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have observed on m</w:t>
      </w:r>
      <w:r w:rsidR="00653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occasions that </w:t>
      </w:r>
      <w:r w:rsidR="00615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word, no letter, no marking is in Torah except by God’s grace and will.  That being the case, we ask ourselves, </w:t>
      </w:r>
      <w:r w:rsidR="00A116B3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 w:rsidR="00615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purpose for this repetition?</w:t>
      </w:r>
    </w:p>
    <w:p w14:paraId="7B2591F3" w14:textId="7AB3C12B" w:rsidR="00653D97" w:rsidRDefault="000B688A" w:rsidP="00FE63C6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Chazal</w:t>
      </w:r>
      <w:r w:rsidR="003751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cited by Rashi, tell us that the repetition </w:t>
      </w:r>
      <w:r w:rsidR="00375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emphasizes 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375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vital 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principle </w:t>
      </w:r>
      <w:r w:rsidR="00375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Torah learning</w:t>
      </w:r>
      <w:r w:rsidR="00375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75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im </w:t>
      </w:r>
      <w:r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tishma b</w:t>
      </w:r>
      <w:r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yoshon, tishma b</w:t>
      </w:r>
      <w:r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chadash</w:t>
      </w:r>
      <w:r w:rsidR="00EF710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, if you hearken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what you have already learned</w:t>
      </w:r>
      <w:r w:rsidR="00CF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making sure to review </w:t>
      </w:r>
      <w:r w:rsidR="00CF44FD">
        <w:rPr>
          <w:rFonts w:ascii="Times New Roman" w:eastAsia="Times New Roman" w:hAnsi="Times New Roman" w:cs="Times New Roman"/>
          <w:color w:val="000000"/>
          <w:sz w:val="24"/>
          <w:szCs w:val="24"/>
        </w:rPr>
        <w:t>over and over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F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hearken 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CF44FD">
        <w:rPr>
          <w:rFonts w:ascii="Times New Roman" w:eastAsia="Times New Roman" w:hAnsi="Times New Roman" w:cs="Times New Roman"/>
          <w:color w:val="000000"/>
          <w:sz w:val="24"/>
          <w:szCs w:val="24"/>
        </w:rPr>
        <w:t>it anew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>.  As</w:t>
      </w:r>
      <w:r w:rsidR="00CF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Rashi teaches,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A116B3">
        <w:rPr>
          <w:rFonts w:ascii="Times New Roman" w:eastAsia="Times New Roman" w:hAnsi="Times New Roman" w:cs="Times New Roman"/>
          <w:color w:val="000000"/>
          <w:sz w:val="24"/>
          <w:szCs w:val="24"/>
        </w:rPr>
        <w:t>repetition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gain fresh insights into the Torah you </w:t>
      </w:r>
      <w:r w:rsidRPr="00F030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already know</w:t>
      </w:r>
      <w:r w:rsidR="00CF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47910AB9" w14:textId="3546E0A9" w:rsidR="00F03049" w:rsidRDefault="00FE63C6" w:rsidP="00FE63C6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Use it or lose it!  </w:t>
      </w:r>
    </w:p>
    <w:p w14:paraId="64626FCC" w14:textId="5A6DEE20" w:rsidR="00FE63C6" w:rsidRDefault="00CF44FD" w:rsidP="00FE63C6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converse is also true.  </w:t>
      </w:r>
      <w:r w:rsidR="00FE6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as the verb “to hearken” is repeated in our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pasuk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above, the verb “to forget” is also repeated earlier in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Ekev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haya im shakoach tishkach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, </w:t>
      </w:r>
      <w:r w:rsidR="00A116B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if</w:t>
      </w:r>
      <w:r w:rsidR="00FE63C6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you forget, you shall forget.  </w:t>
      </w:r>
      <w:r w:rsidR="00FE6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Rashi makes clear, </w:t>
      </w:r>
      <w:r w:rsidR="00FE63C6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once </w:t>
      </w:r>
      <w:r w:rsidR="00FE63C6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you start to forget, you</w:t>
      </w:r>
      <w:r w:rsidR="00FE63C6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FE63C6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ll forget it all</w:t>
      </w:r>
      <w:r w:rsidR="00FE63C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04AF6349" w14:textId="528A7EF4" w:rsidR="008667D4" w:rsidRDefault="00FE63C6" w:rsidP="00653D97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Rashi </w:t>
      </w:r>
      <w:r w:rsidR="008667D4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tells us,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 w:rsid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kein ketiv b</w:t>
      </w:r>
      <w:r w:rsid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Megilah, im ta</w:t>
      </w:r>
      <w:r w:rsid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azveini yom, yomaim e</w:t>
      </w:r>
      <w:r w:rsid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ezvecha</w:t>
      </w:r>
      <w:r w:rsidR="008667D4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, </w:t>
      </w:r>
      <w:r w:rsidR="00A116B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as</w:t>
      </w:r>
      <w:r w:rsidR="008667D4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it is written in Megi</w:t>
      </w:r>
      <w:r w:rsidR="00F03049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l</w:t>
      </w:r>
      <w:r w:rsidR="008667D4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lah, if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forsake me 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the Torah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day, I will forsake you for two days</w:t>
      </w:r>
      <w:r w:rsidR="00866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How that lesson has been 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instilled in our </w:t>
      </w:r>
      <w:r w:rsidR="00866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Jewish 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>hearts</w:t>
      </w:r>
      <w:r w:rsidR="00866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 </w:t>
      </w:r>
    </w:p>
    <w:p w14:paraId="5ACEA8B5" w14:textId="56CE39B0" w:rsidR="00EE6BF4" w:rsidRDefault="00653D97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 </w:t>
      </w:r>
      <w:r w:rsidR="00EE6BF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03049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of yeshiva </w:t>
      </w:r>
      <w:r w:rsidR="000B688A" w:rsidRPr="00EE6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bochurim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most critical point of their yeshiva learning experience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BD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EE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inevitably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to </w:t>
      </w:r>
      <w:r w:rsidR="00EE6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cha</w:t>
      </w:r>
      <w:r w:rsidR="00BD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="00EE6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</w:t>
      </w:r>
      <w:r w:rsidR="00EE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</w:t>
      </w:r>
      <w:r w:rsidR="00EE6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cha</w:t>
      </w:r>
      <w:r w:rsidR="00BD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="00EE6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</w:t>
      </w:r>
      <w:r w:rsidR="00EE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to review, to review!  The actual learning was </w:t>
      </w:r>
      <w:r w:rsidR="00A116B3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important,</w:t>
      </w:r>
      <w:r w:rsidR="00EE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it paled alongside the need to constantly return to and review</w:t>
      </w:r>
      <w:r w:rsidR="00EE6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E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thing that was learned.  </w:t>
      </w:r>
    </w:p>
    <w:p w14:paraId="49F82B7B" w14:textId="2E606360" w:rsidR="00EE6BF4" w:rsidRDefault="000B688A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Without </w:t>
      </w:r>
      <w:r w:rsidR="00EE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consistent review, there can be 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DB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 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learning.  Chazal declare that there is no comparison learning one hundred times to learning one hundred and one times. </w:t>
      </w:r>
      <w:r w:rsidR="00EE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one more time</w:t>
      </w:r>
      <w:r w:rsidR="00EE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often brings the </w:t>
      </w:r>
      <w:r w:rsidR="00DB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deepest </w:t>
      </w:r>
      <w:r w:rsidR="00EE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insight! </w:t>
      </w:r>
    </w:p>
    <w:p w14:paraId="654FE39F" w14:textId="77777777" w:rsidR="00EE6BF4" w:rsidRDefault="000B688A" w:rsidP="000B688A">
      <w:pPr>
        <w:spacing w:line="480" w:lineRule="auto"/>
        <w:ind w:firstLine="720"/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Shamoa tishmeu.  </w:t>
      </w:r>
    </w:p>
    <w:p w14:paraId="61B79F65" w14:textId="473FA784" w:rsidR="000B688A" w:rsidRDefault="00653D97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lesson is clear, l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earning without review</w:t>
      </w:r>
      <w:r w:rsidR="00EE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not real learning. 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Rav Yehoshue ben Korcha teaches</w:t>
      </w:r>
      <w:r w:rsidR="00DB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Sanhedrin 99,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Whoever learns </w:t>
      </w:r>
      <w:r w:rsidR="00BC17F8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Torah,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does not review is to be compared to one who sows and does not harvest.</w:t>
      </w:r>
      <w:r w:rsid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3D1947B7" w14:textId="77777777" w:rsidR="00EE6BF4" w:rsidRPr="000B688A" w:rsidRDefault="00EE6BF4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F0205CB" w14:textId="77777777" w:rsidR="00212CB9" w:rsidRDefault="000B688A" w:rsidP="000B688A">
      <w:pPr>
        <w:spacing w:line="480" w:lineRule="auto"/>
        <w:ind w:firstLine="720"/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haya im shamoa</w:t>
      </w:r>
      <w:r w:rsidR="00212CB9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14:paraId="710319BE" w14:textId="4DDD8389" w:rsidR="00212CB9" w:rsidRDefault="00212CB9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Keep reviewing</w:t>
      </w:r>
      <w:r w:rsidR="00DB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 year, as we complete the reading of the Torah cycle on Simchat Torah what do we do?  We begin the cycle anew!</w:t>
      </w:r>
      <w:r w:rsidR="003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keep reviewing. </w:t>
      </w:r>
    </w:p>
    <w:p w14:paraId="0A201226" w14:textId="7E1483DD" w:rsidR="00653D97" w:rsidRDefault="000B688A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When we complete a tractate of Talmud, we declare </w:t>
      </w:r>
      <w:r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Hadran ha</w:t>
      </w:r>
      <w:r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lach</w:t>
      </w:r>
      <w:r w:rsidR="00DB009F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09F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– we </w:t>
      </w:r>
      <w:r w:rsidR="00212CB9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shall return to you!</w:t>
      </w:r>
      <w:r w:rsidR="00516F2F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 </w:t>
      </w:r>
      <w:r w:rsidR="00212CB9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Without that return, without that review, we risk losing all.  As Rashi </w:t>
      </w:r>
      <w:r w:rsidR="00516F2F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reminds us</w:t>
      </w:r>
      <w:r w:rsidR="00212CB9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,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516F2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states in </w:t>
      </w:r>
      <w:r w:rsidRPr="00212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megi</w:t>
      </w:r>
      <w:r w:rsidR="00516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Pr="00212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lah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12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im ta</w:t>
      </w:r>
      <w:r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azveini yom yomaim e</w:t>
      </w:r>
      <w:r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ezvecha</w:t>
      </w:r>
      <w:r w:rsidR="00212CB9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, if you 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forsake me for a day, I will forsake you for two days.</w:t>
      </w:r>
      <w:r w:rsidR="00516F2F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53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In this, </w:t>
      </w:r>
      <w:r w:rsidR="00DB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Rashi is expressing a </w:t>
      </w:r>
      <w:r w:rsidR="00212CB9">
        <w:rPr>
          <w:rFonts w:ascii="Times New Roman" w:eastAsia="Times New Roman" w:hAnsi="Times New Roman" w:cs="Times New Roman"/>
          <w:color w:val="000000"/>
          <w:sz w:val="24"/>
          <w:szCs w:val="24"/>
        </w:rPr>
        <w:t>powerful lesson</w:t>
      </w:r>
      <w:r w:rsidR="0051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indeed</w:t>
      </w:r>
      <w:r w:rsidR="00653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But </w:t>
      </w:r>
      <w:r w:rsidR="0051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wouldn’t you know that someone </w:t>
      </w:r>
      <w:r w:rsidR="00653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="00DB009F">
        <w:rPr>
          <w:rFonts w:ascii="Times New Roman" w:eastAsia="Times New Roman" w:hAnsi="Times New Roman" w:cs="Times New Roman"/>
          <w:color w:val="000000"/>
          <w:sz w:val="24"/>
          <w:szCs w:val="24"/>
        </w:rPr>
        <w:t>sure to read</w:t>
      </w:r>
      <w:r w:rsidR="0051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Rashi and immediately ask</w:t>
      </w:r>
      <w:r w:rsidR="00DB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tangential question, </w:t>
      </w:r>
      <w:r w:rsidR="003C44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12CB9" w:rsidRPr="00653D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hich</w:t>
      </w:r>
      <w:r w:rsidR="00212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2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megilah</w:t>
      </w:r>
      <w:r w:rsidR="00212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</w:t>
      </w:r>
    </w:p>
    <w:p w14:paraId="6F5B49A7" w14:textId="42914FE7" w:rsidR="00371249" w:rsidRDefault="00516F2F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was the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exact question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212CB9">
        <w:rPr>
          <w:rFonts w:ascii="Times New Roman" w:eastAsia="Times New Roman" w:hAnsi="Times New Roman" w:cs="Times New Roman"/>
          <w:color w:val="000000"/>
          <w:sz w:val="24"/>
          <w:szCs w:val="24"/>
        </w:rPr>
        <w:t>yid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city of Shtefenesht</w:t>
      </w:r>
      <w:r w:rsidR="00212C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2CB9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12CB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212CB9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Zvi Aryeh Kleknir</w:t>
      </w:r>
      <w:r w:rsidR="00212C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12CB9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sent </w:t>
      </w:r>
      <w:r w:rsidR="00212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my grandfather</w:t>
      </w:r>
      <w:r w:rsidR="00212C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 HaGaon Rav Bezalel Zev Shafran (in Shu</w:t>
      </w:r>
      <w:r w:rsid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BC17F8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C17F8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BC17F8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BAZ,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Vol. 3, Siman</w:t>
      </w:r>
      <w:r w:rsidR="00212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92)</w:t>
      </w:r>
      <w:r w:rsidR="00371249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2F11D72B" w14:textId="74139E1B" w:rsidR="00E609D4" w:rsidRDefault="00212CB9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R’ Kleknir wanted to know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why Rashi </w:t>
      </w:r>
      <w:r w:rsidR="00371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neglects to tell us </w:t>
      </w:r>
      <w:r w:rsidR="000B688A" w:rsidRPr="00E60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which </w:t>
      </w:r>
      <w:r w:rsidRPr="00371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megilah</w:t>
      </w:r>
      <w:r w:rsidR="00371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71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</w:t>
      </w:r>
      <w:r w:rsidR="00E609D4" w:rsidRPr="00371249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60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almost always very specific in his references.  </w:t>
      </w:r>
    </w:p>
    <w:p w14:paraId="6F48C53E" w14:textId="44896ED3" w:rsidR="00E609D4" w:rsidRDefault="00E609D4" w:rsidP="000B688A">
      <w:pPr>
        <w:spacing w:line="480" w:lineRule="auto"/>
        <w:ind w:firstLine="720"/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 grandfather provided a two-part answer.  The first was direct.  Rashi’s reference, my grandfather noted, was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Megilat Chasidim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also appearing in </w:t>
      </w:r>
      <w:r w:rsidR="000B688A" w:rsidRPr="00E60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Yerushalmi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[end of 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Berachot</w:t>
      </w:r>
      <w:r w:rsidR="000B688A" w:rsidRPr="000B688A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]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, which clearly 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Yom ta</w:t>
      </w:r>
      <w:r w:rsid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azveini, yomaim e</w:t>
      </w:r>
      <w:r w:rsid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ezvecha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, Leave me for a day, I will leave you for two.</w:t>
      </w:r>
    </w:p>
    <w:p w14:paraId="4C196911" w14:textId="516B2AC8" w:rsidR="00516F2F" w:rsidRDefault="00E609D4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That was the </w:t>
      </w:r>
      <w:r w:rsidR="00BD6B1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simple part</w:t>
      </w:r>
      <w:r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of my grandfather’s response.  The more </w:t>
      </w:r>
      <w:r w:rsidR="003C44D1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insightful 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aspect was when he went on to observe </w:t>
      </w:r>
      <w:r w:rsidR="00516F2F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in the second part of his answer 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that there was a great deal more in Rashi’s response than meets the eye</w:t>
      </w:r>
      <w:r w:rsidR="00C65CBA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; that 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the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Chasidim of Megilat Chasidim are</w:t>
      </w:r>
      <w:r w:rsidR="00C65CBA">
        <w:rPr>
          <w:rFonts w:ascii="Times New Roman" w:eastAsia="Times New Roman" w:hAnsi="Times New Roman" w:cs="Times New Roman"/>
          <w:color w:val="000000"/>
          <w:sz w:val="24"/>
          <w:szCs w:val="24"/>
        </w:rPr>
        <w:t>, in fact, teaching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 about something that would</w:t>
      </w:r>
      <w:r w:rsidR="00C6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likely never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 cross our minds in this context. </w:t>
      </w:r>
    </w:p>
    <w:p w14:paraId="065056F7" w14:textId="3389A980" w:rsidR="00C65CBA" w:rsidRDefault="00C65CBA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371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speak of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careful one must 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eat three meals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seudot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every Shabbat, as taught in </w:t>
      </w:r>
      <w:r w:rsidR="000B688A" w:rsidRPr="00C65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Masechet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Shabbat [116b], </w:t>
      </w:r>
      <w:r w:rsid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One is obligated to eat three meals on Shabbat</w:t>
      </w:r>
      <w:r w:rsid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This, in turn, is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based on Shemot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which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word 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hayom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appears </w:t>
      </w:r>
      <w:r w:rsidR="003C44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“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Moshe said, eat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the manna]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hayom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hayom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Sabbath for Hashem;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hayom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shall not find it in the field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FF55A2F" w14:textId="54310D57" w:rsidR="000B688A" w:rsidRDefault="00C65CBA" w:rsidP="000B688A">
      <w:pPr>
        <w:spacing w:line="480" w:lineRule="auto"/>
        <w:ind w:firstLine="720"/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My grandfather </w:t>
      </w:r>
      <w:r w:rsidR="0051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insightfully explained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implication of this is that failing to eat </w:t>
      </w:r>
      <w:r w:rsidR="0051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of the meals required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Shabbat </w:t>
      </w:r>
      <w:r w:rsidR="00516F2F">
        <w:rPr>
          <w:rFonts w:ascii="Times New Roman" w:eastAsia="Times New Roman" w:hAnsi="Times New Roman" w:cs="Times New Roman"/>
          <w:color w:val="000000"/>
          <w:sz w:val="24"/>
          <w:szCs w:val="24"/>
        </w:rPr>
        <w:t>would result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the loss of two days</w:t>
      </w:r>
      <w:r w:rsidR="00BD6B13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worth of 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parnasah </w:t>
      </w:r>
      <w:r w:rsidR="00371249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sustenance</w:t>
      </w:r>
      <w:r w:rsidR="0037124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the week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This</w:t>
      </w:r>
      <w:r w:rsidR="00516F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 each 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seuda </w:t>
      </w:r>
      <w:r w:rsidR="00516F2F">
        <w:rPr>
          <w:rFonts w:ascii="Times New Roman" w:eastAsia="Times New Roman" w:hAnsi="Times New Roman" w:cs="Times New Roman"/>
          <w:color w:val="000000"/>
          <w:sz w:val="24"/>
          <w:szCs w:val="24"/>
        </w:rPr>
        <w:t>equals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days</w:t>
      </w:r>
      <w:r w:rsidR="00BD6B13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worth of 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mazon</w:t>
      </w:r>
      <w:r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249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sustenance</w:t>
      </w:r>
      <w:r w:rsidR="0037124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noted in the Zohar Parashat </w:t>
      </w:r>
      <w:r w:rsidR="00BC17F8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Yitro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[88]</w:t>
      </w:r>
      <w:r w:rsidR="00653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which Rav Yitzchak, referencing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Shemot,</w:t>
      </w:r>
      <w:r w:rsidR="0051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noted that God commanded us to remember the Sabbath and keep it holy and that God blessed </w:t>
      </w:r>
      <w:r w:rsidR="005B5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1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seventh day.  </w:t>
      </w:r>
      <w:r w:rsidR="003C44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516F2F">
        <w:rPr>
          <w:rFonts w:ascii="Times New Roman" w:eastAsia="Times New Roman" w:hAnsi="Times New Roman" w:cs="Times New Roman"/>
          <w:color w:val="000000"/>
          <w:sz w:val="24"/>
          <w:szCs w:val="24"/>
        </w:rPr>
        <w:t>f the manna in the desert</w:t>
      </w:r>
      <w:r w:rsidR="003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however</w:t>
      </w:r>
      <w:r w:rsidR="00371249">
        <w:rPr>
          <w:rFonts w:ascii="Times New Roman" w:eastAsia="Times New Roman" w:hAnsi="Times New Roman" w:cs="Times New Roman"/>
          <w:color w:val="000000"/>
          <w:sz w:val="24"/>
          <w:szCs w:val="24"/>
        </w:rPr>
        <w:t>, it was</w:t>
      </w:r>
      <w:r w:rsidR="0051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written, “</w:t>
      </w:r>
      <w:r w:rsidR="00516F2F" w:rsidRPr="00516F2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B688A" w:rsidRPr="00516F2F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ix days shall you gather it, but on the seventh day</w:t>
      </w:r>
      <w:r w:rsidR="00516F2F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is a Sabbath, on it there will be none.”</w:t>
      </w:r>
      <w:r w:rsidR="000B688A" w:rsidRPr="00516F2F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12486F" w14:textId="40F6E948" w:rsidR="00516F2F" w:rsidRPr="00516F2F" w:rsidRDefault="00516F2F" w:rsidP="000B688A">
      <w:pPr>
        <w:spacing w:line="480" w:lineRule="auto"/>
        <w:ind w:firstLine="720"/>
        <w:rPr>
          <w:rStyle w:val="Emphasis"/>
          <w:i w:val="0"/>
          <w:iCs w:val="0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If there was no food given on the Sabbath, what blessing was to be </w:t>
      </w:r>
      <w:r w:rsidR="006F5A9C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attached to it</w:t>
      </w:r>
      <w:r w:rsidR="00A116B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, the Zohar asks</w:t>
      </w:r>
      <w:r w:rsidR="006F5A9C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?</w:t>
      </w:r>
    </w:p>
    <w:p w14:paraId="12BE7A5E" w14:textId="6697CC85" w:rsidR="006F5A9C" w:rsidRDefault="000B688A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The Zohar</w:t>
      </w:r>
      <w:r w:rsidR="006F5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teaches 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that all blessing depend</w:t>
      </w:r>
      <w:r w:rsidR="00FC6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seventh day</w:t>
      </w:r>
      <w:r w:rsidR="006F5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 there was no manna on the seventh day because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six other days derive their blessing from it</w:t>
      </w:r>
      <w:r w:rsidR="006F5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Therefore, the food on the Sabbath table is blessed through the six days of the week.  </w:t>
      </w:r>
    </w:p>
    <w:p w14:paraId="66DEEF9D" w14:textId="26E9C5BC" w:rsidR="000B688A" w:rsidRPr="006F5A9C" w:rsidRDefault="000B688A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The point</w:t>
      </w:r>
      <w:r w:rsidR="00A11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my grandfather explained, 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is that </w:t>
      </w:r>
      <w:r w:rsidR="00FC6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weekly sustenance and needs were rooted in the manna Jews ate on Shabbat</w:t>
      </w:r>
      <w:r w:rsidR="006F5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FC65F0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 w:rsidR="006F5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travels in the </w:t>
      </w:r>
      <w:r w:rsidR="006F5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midbar</w:t>
      </w:r>
      <w:r w:rsidR="006F5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 received a double portion of </w:t>
      </w:r>
      <w:r w:rsidR="006F5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manna </w:t>
      </w:r>
      <w:r w:rsidR="006F5A9C">
        <w:rPr>
          <w:rFonts w:ascii="Times New Roman" w:eastAsia="Times New Roman" w:hAnsi="Times New Roman" w:cs="Times New Roman"/>
          <w:color w:val="000000"/>
          <w:sz w:val="24"/>
          <w:szCs w:val="24"/>
        </w:rPr>
        <w:t>on Erev Shabbat (</w:t>
      </w:r>
      <w:r w:rsidR="006F5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lechem mishneh</w:t>
      </w:r>
      <w:r w:rsidR="006F5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for each of the three </w:t>
      </w:r>
      <w:r w:rsidR="006F5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seudot</w:t>
      </w:r>
      <w:r w:rsidR="006F5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That is, each Shabbat meal was doubled, equaling six meals which corresponded to the six days of Creation, representing the six days of sustenance for the coming week.  </w:t>
      </w:r>
    </w:p>
    <w:p w14:paraId="119B46FC" w14:textId="23B624C1" w:rsidR="000B688A" w:rsidRDefault="006F5A9C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partaking of each of the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seudot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we were, essentially, “pulling” our needs from above to our world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himshichu mezona l’chol yemot ha’chol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 That being the case, by missing one Shabbat meal</w:t>
      </w:r>
      <w:r w:rsidR="00A11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6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yom ta’azveini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A52D4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consequence </w:t>
      </w:r>
      <w:r w:rsidR="0037124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5A52D4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52D4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yomaim e</w:t>
      </w:r>
      <w:r w:rsidR="005A52D4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5A52D4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ezvecha</w:t>
      </w:r>
      <w:r w:rsidR="005A52D4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52D4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and </w:t>
      </w:r>
      <w:r w:rsidR="00371249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the equivalent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forfeiting two </w:t>
      </w:r>
      <w:r w:rsidR="00CF6AB2">
        <w:rPr>
          <w:rFonts w:ascii="Times New Roman" w:eastAsia="Times New Roman" w:hAnsi="Times New Roman" w:cs="Times New Roman"/>
          <w:color w:val="000000"/>
          <w:sz w:val="24"/>
          <w:szCs w:val="24"/>
        </w:rPr>
        <w:t>days’ worth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week’s sustenance.  </w:t>
      </w:r>
      <w:r w:rsidR="00A116B3">
        <w:rPr>
          <w:rFonts w:ascii="Times New Roman" w:eastAsia="Times New Roman" w:hAnsi="Times New Roman" w:cs="Times New Roman"/>
          <w:color w:val="000000"/>
          <w:sz w:val="24"/>
          <w:szCs w:val="24"/>
        </w:rPr>
        <w:t>That is why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one must be sure to ea</w:t>
      </w:r>
      <w:r w:rsidR="005A52D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three Shabbat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seudot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0CFEE912" w14:textId="78D9A32F" w:rsidR="000B688A" w:rsidRDefault="005A52D4" w:rsidP="000B688A">
      <w:pPr>
        <w:spacing w:line="480" w:lineRule="auto"/>
        <w:ind w:firstLine="720"/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And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grandfather explained, was the lesson of 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Rashi</w:t>
      </w:r>
      <w:r w:rsid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comment on </w:t>
      </w:r>
      <w:r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ehaya im shamoa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,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quoting what i</w:t>
      </w:r>
      <w:r w:rsidR="003712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says in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megilah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688A" w:rsidRPr="000B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im ta</w:t>
      </w:r>
      <w:r w:rsid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azveini yom yomaim e</w:t>
      </w:r>
      <w:r w:rsid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B688A" w:rsidRPr="000B688A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ezvecha. </w:t>
      </w:r>
    </w:p>
    <w:p w14:paraId="3A21D911" w14:textId="404C6076" w:rsidR="00FC65F0" w:rsidRDefault="00734435" w:rsidP="000B688A">
      <w:pPr>
        <w:spacing w:line="480" w:lineRule="auto"/>
        <w:ind w:firstLine="720"/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Just as the need to review and review </w:t>
      </w:r>
      <w:r w:rsidR="005B5598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otherwise w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e will lose the lessons we have learned, we must be sure to partake of </w:t>
      </w:r>
      <w:r w:rsidR="00A116B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all 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the </w:t>
      </w:r>
      <w:r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seudot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God has provided to us or we will lose our sustenance.</w:t>
      </w:r>
      <w:r w:rsidR="002D7A27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 </w:t>
      </w:r>
    </w:p>
    <w:p w14:paraId="3D2071C0" w14:textId="1F953513" w:rsidR="005A52D4" w:rsidRPr="00734435" w:rsidRDefault="002D7A27" w:rsidP="000B688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We must use it or lose it.</w:t>
      </w:r>
    </w:p>
    <w:p w14:paraId="2A4021DF" w14:textId="77777777" w:rsidR="000B688A" w:rsidRPr="000B688A" w:rsidRDefault="000B688A" w:rsidP="000B688A">
      <w:pPr>
        <w:shd w:val="clear" w:color="auto" w:fill="FFFFFF"/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B3F43" w14:textId="77777777" w:rsidR="004B0A6F" w:rsidRPr="000B688A" w:rsidRDefault="004B0A6F" w:rsidP="000B688A">
      <w:pPr>
        <w:spacing w:line="480" w:lineRule="auto"/>
        <w:ind w:firstLine="720"/>
        <w:rPr>
          <w:rFonts w:ascii="Times New Roman" w:hAnsi="Times New Roman" w:cs="Times New Roman"/>
        </w:rPr>
      </w:pPr>
    </w:p>
    <w:sectPr w:rsidR="004B0A6F" w:rsidRPr="000B68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C3E7A" w14:textId="77777777" w:rsidR="00B85008" w:rsidRDefault="00B85008" w:rsidP="0037517E">
      <w:r>
        <w:separator/>
      </w:r>
    </w:p>
  </w:endnote>
  <w:endnote w:type="continuationSeparator" w:id="0">
    <w:p w14:paraId="0791E6C6" w14:textId="77777777" w:rsidR="00B85008" w:rsidRDefault="00B85008" w:rsidP="0037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623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D67E9" w14:textId="14D53C05" w:rsidR="0037517E" w:rsidRDefault="0037517E">
        <w:pPr>
          <w:pStyle w:val="Footer"/>
          <w:jc w:val="right"/>
        </w:pPr>
        <w:r w:rsidRPr="003751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7517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751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08E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7517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ADE00BA" w14:textId="77777777" w:rsidR="0037517E" w:rsidRDefault="00375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4555F" w14:textId="77777777" w:rsidR="00B85008" w:rsidRDefault="00B85008" w:rsidP="0037517E">
      <w:r>
        <w:separator/>
      </w:r>
    </w:p>
  </w:footnote>
  <w:footnote w:type="continuationSeparator" w:id="0">
    <w:p w14:paraId="716CCF33" w14:textId="77777777" w:rsidR="00B85008" w:rsidRDefault="00B85008" w:rsidP="0037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092F" w14:textId="66C6B47F" w:rsidR="0037517E" w:rsidRPr="0037517E" w:rsidRDefault="0037517E">
    <w:pPr>
      <w:pStyle w:val="Header"/>
      <w:rPr>
        <w:rFonts w:ascii="Times New Roman" w:hAnsi="Times New Roman" w:cs="Times New Roman"/>
        <w:sz w:val="20"/>
        <w:szCs w:val="20"/>
      </w:rPr>
    </w:pPr>
    <w:r w:rsidRPr="0037517E">
      <w:rPr>
        <w:rFonts w:ascii="Times New Roman" w:hAnsi="Times New Roman" w:cs="Times New Roman"/>
        <w:sz w:val="20"/>
        <w:szCs w:val="20"/>
      </w:rPr>
      <w:t>Rabbi Eliyahu Safran</w:t>
    </w:r>
  </w:p>
  <w:p w14:paraId="2A5F8D1B" w14:textId="77777777" w:rsidR="0037517E" w:rsidRDefault="003751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8A"/>
    <w:rsid w:val="00090F4E"/>
    <w:rsid w:val="000B688A"/>
    <w:rsid w:val="00212CB9"/>
    <w:rsid w:val="002159F7"/>
    <w:rsid w:val="002D7A27"/>
    <w:rsid w:val="002F6DF7"/>
    <w:rsid w:val="00371249"/>
    <w:rsid w:val="0037517E"/>
    <w:rsid w:val="003C35A3"/>
    <w:rsid w:val="003C44D1"/>
    <w:rsid w:val="00475FBE"/>
    <w:rsid w:val="004B0A6F"/>
    <w:rsid w:val="00516F2F"/>
    <w:rsid w:val="005A52D4"/>
    <w:rsid w:val="005B5598"/>
    <w:rsid w:val="00615EA6"/>
    <w:rsid w:val="00653D97"/>
    <w:rsid w:val="006603E3"/>
    <w:rsid w:val="006F5A9C"/>
    <w:rsid w:val="00734435"/>
    <w:rsid w:val="007922D1"/>
    <w:rsid w:val="008667D4"/>
    <w:rsid w:val="008762DA"/>
    <w:rsid w:val="0095650F"/>
    <w:rsid w:val="00A116B3"/>
    <w:rsid w:val="00AB1440"/>
    <w:rsid w:val="00B85008"/>
    <w:rsid w:val="00B86D0D"/>
    <w:rsid w:val="00BC17F8"/>
    <w:rsid w:val="00BD6B13"/>
    <w:rsid w:val="00C608EC"/>
    <w:rsid w:val="00C65CBA"/>
    <w:rsid w:val="00CF44FD"/>
    <w:rsid w:val="00CF6AB2"/>
    <w:rsid w:val="00DB009F"/>
    <w:rsid w:val="00E609D4"/>
    <w:rsid w:val="00E82B9A"/>
    <w:rsid w:val="00EB7A44"/>
    <w:rsid w:val="00EE6BF4"/>
    <w:rsid w:val="00EF7103"/>
    <w:rsid w:val="00F03049"/>
    <w:rsid w:val="00FC65F0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A0FF"/>
  <w15:chartTrackingRefBased/>
  <w15:docId w15:val="{9F5EA2C7-A386-4215-B029-484B1C1B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88A"/>
    <w:pPr>
      <w:spacing w:line="240" w:lineRule="auto"/>
      <w:ind w:firstLine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68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5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17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5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Woolfe</dc:creator>
  <cp:keywords/>
  <dc:description/>
  <cp:lastModifiedBy>Safran, Eliyahu</cp:lastModifiedBy>
  <cp:revision>6</cp:revision>
  <dcterms:created xsi:type="dcterms:W3CDTF">2020-07-20T13:32:00Z</dcterms:created>
  <dcterms:modified xsi:type="dcterms:W3CDTF">2021-07-25T13:14:00Z</dcterms:modified>
</cp:coreProperties>
</file>