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b w:val="1"/>
          <w:sz w:val="46"/>
          <w:szCs w:val="4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u w:val="singl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u w:val="single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u w:val="single"/>
          <w:rtl w:val="1"/>
        </w:rPr>
        <w:t xml:space="preserve">קטן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תשלומין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לתשלומין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מותרת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חולו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פחזין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והשתא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טירחא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בחולו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שחרבה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להתראות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מסוימת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תולדות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ובשביעית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לעצים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מתקן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וצריך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הקושר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וחידוש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מדבריהם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לעולם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לכוון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הארץ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ספקא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דדינא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ומתקנין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תיקו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תיקון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מעיינות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ונהרות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במועד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ומתקנין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המקולקלות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׳...׳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ומתקנין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חפירה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חטיטה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תקמג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ליקוט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עצמות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ורמינהו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ולערב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מברטנורא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ששמחה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קילוסין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המלקט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ליקוט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הפסד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לרגל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יערער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דקא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יעורר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הספד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מתניתין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יעורר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מערבין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בשמחה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בחגך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הטורח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ביטול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למינטר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ומסר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המשכן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דוחה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פרנך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עשיית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מצוה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חפצי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לקמן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תלמוד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בלמידה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מרגלא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בפומיה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נברא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כאן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יונה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יונה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והדיוט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שינוי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כלבתא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מסרגין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המיטות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מסרגין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טרחינן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במסרגין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הראשונים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נירין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שתלוי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בכוונת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העושה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תמתקיל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דדיקלא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ואסיר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אדעתא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נפש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קצרו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׳)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תפילין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חולו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פלוגתא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העמק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ושמרת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יצאו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העמק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טמא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משלח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קרבנותיו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הזבחים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ואחרי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להקרבה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ואחרי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דכתיב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משלח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קרבן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להקרבה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ואחרי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אחריות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וסמכות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הקהילה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בנדוי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כיבוס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מנכסין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אפילו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המועד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איגרות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קדושת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ושמחת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השבועות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תשלומין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תשמיש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באנינות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ואינו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.׳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