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800180945"/>
        <w:docPartObj>
          <w:docPartGallery w:val="Cover Pages"/>
          <w:docPartUnique/>
        </w:docPartObj>
      </w:sdtPr>
      <w:sdtEndPr>
        <w:rPr>
          <w:rFonts w:eastAsiaTheme="minorHAnsi" w:cs="Arial"/>
          <w:color w:val="auto"/>
          <w:sz w:val="28"/>
          <w:szCs w:val="28"/>
          <w:lang w:bidi="he-IL"/>
        </w:rPr>
      </w:sdtEndPr>
      <w:sdtContent>
        <w:p w14:paraId="4D239E8E" w14:textId="5B6B5F47" w:rsidR="009E6C5D" w:rsidRPr="001C7611" w:rsidRDefault="009E6C5D" w:rsidP="009E6C5D">
          <w:pPr>
            <w:pStyle w:val="NoSpacing"/>
            <w:spacing w:before="1540" w:after="240"/>
            <w:jc w:val="center"/>
            <w:rPr>
              <w:rFonts w:ascii="Rockwell" w:eastAsiaTheme="majorEastAsia" w:hAnsi="Rockwell" w:cstheme="majorBidi"/>
              <w:caps/>
              <w:sz w:val="80"/>
              <w:szCs w:val="80"/>
            </w:rPr>
          </w:pPr>
          <w:sdt>
            <w:sdtPr>
              <w:rPr>
                <w:rFonts w:ascii="Rockwell" w:eastAsiaTheme="majorEastAsia" w:hAnsi="Rockwell" w:cstheme="majorBidi"/>
                <w:caps/>
                <w:sz w:val="80"/>
                <w:szCs w:val="80"/>
              </w:rPr>
              <w:alias w:val="Title"/>
              <w:tag w:val=""/>
              <w:id w:val="1735040861"/>
              <w:placeholder>
                <w:docPart w:val="3535DAFA49994E79BA410F76D4CA9B17"/>
              </w:placeholder>
              <w:dataBinding w:prefixMappings="xmlns:ns0='http://purl.org/dc/elements/1.1/' xmlns:ns1='http://schemas.openxmlformats.org/package/2006/metadata/core-properties' " w:xpath="/ns1:coreProperties[1]/ns0:title[1]" w:storeItemID="{6C3C8BC8-F283-45AE-878A-BAB7291924A1}"/>
              <w:text/>
            </w:sdtPr>
            <w:sdtContent>
              <w:r w:rsidRPr="009E6C5D">
                <w:rPr>
                  <w:rFonts w:ascii="Rockwell" w:eastAsiaTheme="majorEastAsia" w:hAnsi="Rockwell" w:cstheme="majorBidi"/>
                  <w:caps/>
                  <w:sz w:val="80"/>
                  <w:szCs w:val="80"/>
                </w:rPr>
                <w:t>RENEWING OUR SHUL EXPERIENCE</w:t>
              </w:r>
            </w:sdtContent>
          </w:sdt>
        </w:p>
        <w:p w14:paraId="315DAF2C" w14:textId="1FF91E21" w:rsidR="009E6C5D" w:rsidRDefault="009E6C5D" w:rsidP="009E6C5D">
          <w:pPr>
            <w:pStyle w:val="NoSpacing"/>
            <w:spacing w:after="240"/>
            <w:jc w:val="center"/>
            <w:rPr>
              <w:rFonts w:ascii="Rockwell" w:hAnsi="Rockwell"/>
              <w:sz w:val="32"/>
              <w:szCs w:val="32"/>
            </w:rPr>
          </w:pPr>
          <w:r>
            <w:rPr>
              <w:rFonts w:ascii="Rockwell" w:hAnsi="Rockwell"/>
              <w:sz w:val="32"/>
              <w:szCs w:val="32"/>
            </w:rPr>
            <w:t>NER TAMID</w:t>
          </w:r>
          <w:r w:rsidRPr="001C7611">
            <w:rPr>
              <w:rFonts w:ascii="Rockwell" w:hAnsi="Rockwell"/>
              <w:sz w:val="32"/>
              <w:szCs w:val="32"/>
            </w:rPr>
            <w:t xml:space="preserve">: </w:t>
          </w:r>
          <w:r>
            <w:rPr>
              <w:rFonts w:ascii="Rockwell" w:hAnsi="Rockwell"/>
              <w:sz w:val="32"/>
              <w:szCs w:val="32"/>
            </w:rPr>
            <w:t>ILLUMINATING</w:t>
          </w:r>
          <w:r w:rsidRPr="001C7611">
            <w:rPr>
              <w:rFonts w:ascii="Rockwell" w:hAnsi="Rockwell"/>
              <w:sz w:val="32"/>
              <w:szCs w:val="32"/>
            </w:rPr>
            <w:t xml:space="preserve"> </w:t>
          </w:r>
          <w:r w:rsidRPr="001C7611">
            <w:rPr>
              <w:rFonts w:ascii="Rockwell" w:hAnsi="Rockwell"/>
              <w:sz w:val="32"/>
              <w:szCs w:val="32"/>
              <w:shd w:val="clear" w:color="auto" w:fill="000000" w:themeFill="text1"/>
            </w:rPr>
            <w:t>OUR</w:t>
          </w:r>
          <w:r w:rsidRPr="001C7611">
            <w:rPr>
              <w:rFonts w:ascii="Rockwell" w:hAnsi="Rockwell"/>
              <w:sz w:val="32"/>
              <w:szCs w:val="32"/>
            </w:rPr>
            <w:t xml:space="preserve"> </w:t>
          </w:r>
          <w:r>
            <w:rPr>
              <w:rFonts w:ascii="Rockwell" w:hAnsi="Rockwell"/>
              <w:sz w:val="32"/>
              <w:szCs w:val="32"/>
            </w:rPr>
            <w:t>LIFE</w:t>
          </w:r>
        </w:p>
        <w:p w14:paraId="33059176" w14:textId="3B09649F" w:rsidR="009E6C5D" w:rsidRDefault="009E6C5D" w:rsidP="009E6C5D">
          <w:pPr>
            <w:pStyle w:val="NoSpacing"/>
            <w:spacing w:after="240"/>
            <w:jc w:val="center"/>
            <w:rPr>
              <w:rFonts w:ascii="Rockwell" w:hAnsi="Rockwell"/>
              <w:sz w:val="32"/>
              <w:szCs w:val="32"/>
            </w:rPr>
          </w:pPr>
          <w:r>
            <w:rPr>
              <w:rFonts w:ascii="Rockwell" w:hAnsi="Rockwell"/>
              <w:sz w:val="32"/>
              <w:szCs w:val="32"/>
            </w:rPr>
            <w:t>NITZAVIM 5779</w:t>
          </w:r>
        </w:p>
        <w:p w14:paraId="0F2AEFC2" w14:textId="37379965" w:rsidR="009E6C5D" w:rsidRDefault="009E6C5D" w:rsidP="009E6C5D">
          <w:pPr>
            <w:pStyle w:val="NoSpacing"/>
            <w:spacing w:after="240"/>
            <w:jc w:val="center"/>
            <w:rPr>
              <w:noProof/>
              <w:color w:val="4472C4" w:themeColor="accent1"/>
            </w:rPr>
          </w:pPr>
          <w:r>
            <w:rPr>
              <w:noProof/>
              <w:color w:val="4472C4" w:themeColor="accent1"/>
            </w:rPr>
            <w:drawing>
              <wp:anchor distT="0" distB="0" distL="114300" distR="114300" simplePos="0" relativeHeight="251660288" behindDoc="0" locked="0" layoutInCell="1" allowOverlap="1" wp14:anchorId="010F1F72" wp14:editId="298413CF">
                <wp:simplePos x="0" y="0"/>
                <wp:positionH relativeFrom="margin">
                  <wp:align>center</wp:align>
                </wp:positionH>
                <wp:positionV relativeFrom="paragraph">
                  <wp:posOffset>247015</wp:posOffset>
                </wp:positionV>
                <wp:extent cx="2800350" cy="2409825"/>
                <wp:effectExtent l="114300" t="114300" r="133350" b="142875"/>
                <wp:wrapSquare wrapText="bothSides"/>
                <wp:docPr id="5" name="Picture 5" descr="A wooden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277.JPG"/>
                        <pic:cNvPicPr/>
                      </pic:nvPicPr>
                      <pic:blipFill rotWithShape="1">
                        <a:blip r:embed="rId4" cstate="print">
                          <a:extLst>
                            <a:ext uri="{28A0092B-C50C-407E-A947-70E740481C1C}">
                              <a14:useLocalDpi xmlns:a14="http://schemas.microsoft.com/office/drawing/2010/main" val="0"/>
                            </a:ext>
                          </a:extLst>
                        </a:blip>
                        <a:srcRect l="26308" t="19190" r="23587" b="16124"/>
                        <a:stretch/>
                      </pic:blipFill>
                      <pic:spPr bwMode="auto">
                        <a:xfrm>
                          <a:off x="0" y="0"/>
                          <a:ext cx="2800350" cy="2409825"/>
                        </a:xfrm>
                        <a:prstGeom prst="rect">
                          <a:avLst/>
                        </a:prstGeom>
                        <a:ln>
                          <a:noFill/>
                        </a:ln>
                        <a:effectLst>
                          <a:glow rad="101600">
                            <a:srgbClr val="4472C4">
                              <a:satMod val="175000"/>
                              <a:alpha val="40000"/>
                            </a:srgbClr>
                          </a:glow>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88443E" w14:textId="66B1347D" w:rsidR="009E6C5D" w:rsidRDefault="009E6C5D" w:rsidP="009E6C5D">
          <w:pPr>
            <w:pStyle w:val="NoSpacing"/>
            <w:spacing w:after="240"/>
            <w:jc w:val="center"/>
            <w:rPr>
              <w:noProof/>
              <w:color w:val="4472C4" w:themeColor="accent1"/>
            </w:rPr>
          </w:pPr>
        </w:p>
        <w:p w14:paraId="7265EE6B" w14:textId="256EF018" w:rsidR="009E6C5D" w:rsidRDefault="009E6C5D" w:rsidP="009E6C5D">
          <w:pPr>
            <w:pStyle w:val="NoSpacing"/>
            <w:spacing w:after="240"/>
            <w:jc w:val="center"/>
            <w:rPr>
              <w:color w:val="4472C4" w:themeColor="accent1"/>
            </w:rPr>
          </w:pPr>
        </w:p>
        <w:p w14:paraId="72FA5EA0" w14:textId="77777777" w:rsidR="009E6C5D" w:rsidRDefault="009E6C5D" w:rsidP="009E6C5D">
          <w:pPr>
            <w:rPr>
              <w:rFonts w:cs="Arial"/>
              <w:sz w:val="28"/>
              <w:szCs w:val="28"/>
              <w:lang w:bidi="he-IL"/>
            </w:rPr>
          </w:pPr>
        </w:p>
        <w:p w14:paraId="3028DBAE" w14:textId="77777777" w:rsidR="009E6C5D" w:rsidRDefault="009E6C5D" w:rsidP="009E6C5D">
          <w:pPr>
            <w:rPr>
              <w:rFonts w:cs="Arial"/>
              <w:sz w:val="28"/>
              <w:szCs w:val="28"/>
              <w:lang w:bidi="he-IL"/>
            </w:rPr>
          </w:pPr>
        </w:p>
        <w:p w14:paraId="1E20F087" w14:textId="77777777" w:rsidR="009E6C5D" w:rsidRDefault="009E6C5D" w:rsidP="009E6C5D">
          <w:pPr>
            <w:rPr>
              <w:rFonts w:cs="Arial"/>
              <w:sz w:val="28"/>
              <w:szCs w:val="28"/>
              <w:lang w:bidi="he-IL"/>
            </w:rPr>
          </w:pPr>
        </w:p>
        <w:p w14:paraId="63047FA6" w14:textId="77777777" w:rsidR="009E6C5D" w:rsidRDefault="009E6C5D" w:rsidP="009E6C5D">
          <w:pPr>
            <w:rPr>
              <w:rFonts w:cs="Arial"/>
              <w:sz w:val="28"/>
              <w:szCs w:val="28"/>
              <w:lang w:bidi="he-IL"/>
            </w:rPr>
          </w:pPr>
        </w:p>
        <w:p w14:paraId="66DAF601" w14:textId="77777777" w:rsidR="009E6C5D" w:rsidRDefault="009E6C5D" w:rsidP="009E6C5D">
          <w:pPr>
            <w:rPr>
              <w:rFonts w:cs="Arial"/>
              <w:sz w:val="28"/>
              <w:szCs w:val="28"/>
              <w:lang w:bidi="he-IL"/>
            </w:rPr>
          </w:pPr>
        </w:p>
        <w:p w14:paraId="507F00C0" w14:textId="77777777" w:rsidR="009E6C5D" w:rsidRDefault="009E6C5D" w:rsidP="009E6C5D">
          <w:pPr>
            <w:rPr>
              <w:rFonts w:cs="Arial"/>
              <w:sz w:val="28"/>
              <w:szCs w:val="28"/>
              <w:lang w:bidi="he-IL"/>
            </w:rPr>
          </w:pPr>
        </w:p>
        <w:p w14:paraId="205C1575" w14:textId="77777777" w:rsidR="009E6C5D" w:rsidRDefault="009E6C5D" w:rsidP="009E6C5D">
          <w:pPr>
            <w:rPr>
              <w:rFonts w:cs="Arial"/>
              <w:sz w:val="28"/>
              <w:szCs w:val="28"/>
              <w:lang w:bidi="he-IL"/>
            </w:rPr>
          </w:pPr>
        </w:p>
        <w:p w14:paraId="02BD03D7" w14:textId="77777777" w:rsidR="009E6C5D" w:rsidRDefault="009E6C5D" w:rsidP="009E6C5D">
          <w:pPr>
            <w:rPr>
              <w:rFonts w:cs="Arial"/>
              <w:sz w:val="28"/>
              <w:szCs w:val="28"/>
              <w:lang w:bidi="he-IL"/>
            </w:rPr>
          </w:pPr>
        </w:p>
        <w:p w14:paraId="5918DA53" w14:textId="77777777" w:rsidR="009E6C5D" w:rsidRDefault="009E6C5D" w:rsidP="009E6C5D">
          <w:pPr>
            <w:jc w:val="center"/>
            <w:rPr>
              <w:rFonts w:ascii="Rockwell" w:hAnsi="Rockwell" w:cs="Arial"/>
              <w:sz w:val="28"/>
              <w:szCs w:val="28"/>
              <w:lang w:bidi="he-IL"/>
            </w:rPr>
          </w:pPr>
        </w:p>
        <w:p w14:paraId="2A2034C1" w14:textId="77777777" w:rsidR="009E6C5D" w:rsidRDefault="009E6C5D" w:rsidP="009E6C5D">
          <w:pPr>
            <w:jc w:val="center"/>
            <w:rPr>
              <w:rFonts w:ascii="Rockwell" w:hAnsi="Rockwell" w:cs="Arial"/>
              <w:sz w:val="28"/>
              <w:szCs w:val="28"/>
              <w:lang w:bidi="he-IL"/>
            </w:rPr>
          </w:pPr>
        </w:p>
        <w:p w14:paraId="6ABC5673" w14:textId="30949978" w:rsidR="009E6C5D" w:rsidRPr="009E6C5D" w:rsidRDefault="009E6C5D" w:rsidP="009E6C5D">
          <w:pPr>
            <w:jc w:val="center"/>
            <w:rPr>
              <w:rFonts w:ascii="Rockwell" w:hAnsi="Rockwell" w:cs="Arial"/>
              <w:sz w:val="28"/>
              <w:szCs w:val="28"/>
              <w:lang w:bidi="he-IL"/>
            </w:rPr>
          </w:pPr>
          <w:r w:rsidRPr="009E6C5D">
            <w:rPr>
              <w:rFonts w:ascii="Rockwell" w:hAnsi="Rockwell" w:cs="Arial"/>
              <w:sz w:val="28"/>
              <w:szCs w:val="28"/>
              <w:lang w:bidi="he-IL"/>
            </w:rPr>
            <w:t>Rabbi Andrew Markowitz</w:t>
          </w:r>
        </w:p>
        <w:p w14:paraId="43A64067" w14:textId="1C6240C2" w:rsidR="009E6C5D" w:rsidRPr="009E6C5D" w:rsidRDefault="009E6C5D" w:rsidP="009E6C5D">
          <w:pPr>
            <w:jc w:val="center"/>
            <w:rPr>
              <w:rFonts w:ascii="Rockwell" w:hAnsi="Rockwell" w:cs="Arial"/>
              <w:sz w:val="28"/>
              <w:szCs w:val="28"/>
              <w:rtl/>
              <w:lang w:bidi="he-IL"/>
            </w:rPr>
          </w:pPr>
          <w:r w:rsidRPr="009E6C5D">
            <w:rPr>
              <w:rFonts w:ascii="Rockwell" w:hAnsi="Rockwell" w:cs="Arial"/>
              <w:sz w:val="28"/>
              <w:szCs w:val="28"/>
              <w:lang w:bidi="he-IL"/>
            </w:rPr>
            <w:t>ram@shomrei-torah.org</w:t>
          </w:r>
        </w:p>
      </w:sdtContent>
    </w:sdt>
    <w:p w14:paraId="07892EC4" w14:textId="06213977" w:rsidR="006214A7" w:rsidRPr="00B80BC8" w:rsidRDefault="006214A7" w:rsidP="007B163A">
      <w:pPr>
        <w:pBdr>
          <w:top w:val="single" w:sz="4" w:space="1" w:color="auto"/>
          <w:left w:val="single" w:sz="4" w:space="4" w:color="auto"/>
          <w:bottom w:val="single" w:sz="4" w:space="1" w:color="auto"/>
          <w:right w:val="single" w:sz="4" w:space="4" w:color="auto"/>
        </w:pBdr>
        <w:shd w:val="clear" w:color="auto" w:fill="D0CECE" w:themeFill="background2" w:themeFillShade="E6"/>
        <w:bidi/>
        <w:jc w:val="center"/>
        <w:rPr>
          <w:rFonts w:cs="Arial"/>
          <w:sz w:val="32"/>
          <w:szCs w:val="32"/>
          <w:lang w:bidi="he-IL"/>
        </w:rPr>
      </w:pPr>
      <w:bookmarkStart w:id="0" w:name="_GoBack"/>
      <w:r w:rsidRPr="00B80BC8">
        <w:rPr>
          <w:rFonts w:cs="Arial"/>
          <w:sz w:val="32"/>
          <w:szCs w:val="32"/>
          <w:rtl/>
          <w:lang w:bidi="he-IL"/>
        </w:rPr>
        <w:lastRenderedPageBreak/>
        <w:t>ישעיהו פרק כד</w:t>
      </w:r>
    </w:p>
    <w:p w14:paraId="44E9F581" w14:textId="1EAE73BA" w:rsidR="006214A7" w:rsidRPr="00B80BC8" w:rsidRDefault="006214A7" w:rsidP="007B163A">
      <w:pPr>
        <w:bidi/>
        <w:jc w:val="center"/>
        <w:rPr>
          <w:rFonts w:cs="Arial"/>
          <w:sz w:val="28"/>
          <w:szCs w:val="28"/>
          <w:lang w:bidi="he-IL"/>
        </w:rPr>
      </w:pPr>
      <w:r w:rsidRPr="00B80BC8">
        <w:rPr>
          <w:rFonts w:cs="Arial"/>
          <w:sz w:val="28"/>
          <w:szCs w:val="28"/>
          <w:rtl/>
          <w:lang w:bidi="he-IL"/>
        </w:rPr>
        <w:t>(טו) עַל כֵּן בָּאֻרִים כַּבְּדוּ יְקֹוָק בְּאִיֵּי הַיָּם שֵׁם יְקֹוָק אֱלֹהֵי יִשְׂרָאֵל: ס</w:t>
      </w:r>
    </w:p>
    <w:p w14:paraId="259A613E" w14:textId="7BE750E9" w:rsidR="006214A7" w:rsidRPr="00B80BC8" w:rsidRDefault="006214A7" w:rsidP="007B163A">
      <w:pPr>
        <w:pBdr>
          <w:top w:val="single" w:sz="4" w:space="1" w:color="auto"/>
          <w:left w:val="single" w:sz="4" w:space="4" w:color="auto"/>
          <w:bottom w:val="single" w:sz="4" w:space="1" w:color="auto"/>
          <w:right w:val="single" w:sz="4" w:space="4" w:color="auto"/>
        </w:pBdr>
        <w:shd w:val="clear" w:color="auto" w:fill="D0CECE" w:themeFill="background2" w:themeFillShade="E6"/>
        <w:bidi/>
        <w:jc w:val="center"/>
        <w:rPr>
          <w:rFonts w:cs="Arial"/>
          <w:b/>
          <w:bCs/>
          <w:sz w:val="28"/>
          <w:szCs w:val="28"/>
          <w:lang w:bidi="he-IL"/>
        </w:rPr>
      </w:pPr>
      <w:r w:rsidRPr="00B80BC8">
        <w:rPr>
          <w:rFonts w:cs="Arial"/>
          <w:b/>
          <w:bCs/>
          <w:sz w:val="28"/>
          <w:szCs w:val="28"/>
          <w:rtl/>
          <w:lang w:bidi="he-IL"/>
        </w:rPr>
        <w:t>רד"ק ישעיהו פרק כד</w:t>
      </w:r>
    </w:p>
    <w:p w14:paraId="5FD12072" w14:textId="7417E4BD" w:rsidR="006214A7" w:rsidRPr="00B80BC8" w:rsidRDefault="006214A7" w:rsidP="006214A7">
      <w:pPr>
        <w:bidi/>
        <w:rPr>
          <w:rFonts w:cs="Arial"/>
          <w:sz w:val="28"/>
          <w:szCs w:val="28"/>
          <w:rtl/>
          <w:lang w:bidi="he-IL"/>
        </w:rPr>
      </w:pPr>
      <w:proofErr w:type="gramStart"/>
      <w:r w:rsidRPr="00B80BC8">
        <w:rPr>
          <w:rFonts w:cs="Arial"/>
          <w:sz w:val="28"/>
          <w:szCs w:val="28"/>
          <w:lang w:bidi="he-IL"/>
        </w:rPr>
        <w:t>)</w:t>
      </w:r>
      <w:r w:rsidRPr="00B80BC8">
        <w:rPr>
          <w:rFonts w:cs="Arial"/>
          <w:sz w:val="28"/>
          <w:szCs w:val="28"/>
          <w:rtl/>
          <w:lang w:bidi="he-IL"/>
        </w:rPr>
        <w:t>טו</w:t>
      </w:r>
      <w:proofErr w:type="gramEnd"/>
      <w:r w:rsidRPr="00B80BC8">
        <w:rPr>
          <w:rFonts w:cs="Arial"/>
          <w:sz w:val="28"/>
          <w:szCs w:val="28"/>
          <w:rtl/>
          <w:lang w:bidi="he-IL"/>
        </w:rPr>
        <w:t>) על כן באורים - בעמקים כמו מאור כשדים ומה שאמר באורים כי רוב הערים הם בעמקים לא בהרים, ואמר על כן ר"ל כשתראו ותשמעו ביכולת האל וגאונו על העמים כבדוהו בדברי שבח וכן באיי הים הרחוקים כבדו לה' אלהי ישראל, כי בעבורם עשה מה שעשה בעמים:</w:t>
      </w:r>
    </w:p>
    <w:p w14:paraId="6FBD2D48" w14:textId="7B75758D" w:rsidR="006214A7" w:rsidRPr="00B80BC8" w:rsidRDefault="006214A7" w:rsidP="007B163A">
      <w:pPr>
        <w:pBdr>
          <w:top w:val="single" w:sz="4" w:space="1" w:color="auto"/>
          <w:left w:val="single" w:sz="4" w:space="4" w:color="auto"/>
          <w:bottom w:val="single" w:sz="4" w:space="1" w:color="auto"/>
          <w:right w:val="single" w:sz="4" w:space="4" w:color="auto"/>
        </w:pBdr>
        <w:shd w:val="clear" w:color="auto" w:fill="D0CECE" w:themeFill="background2" w:themeFillShade="E6"/>
        <w:bidi/>
        <w:jc w:val="center"/>
        <w:rPr>
          <w:rFonts w:cs="Arial"/>
          <w:b/>
          <w:bCs/>
          <w:sz w:val="28"/>
          <w:szCs w:val="28"/>
          <w:rtl/>
          <w:lang w:bidi="he-IL"/>
        </w:rPr>
      </w:pPr>
      <w:r w:rsidRPr="00B80BC8">
        <w:rPr>
          <w:rFonts w:cs="Arial"/>
          <w:b/>
          <w:bCs/>
          <w:sz w:val="28"/>
          <w:szCs w:val="28"/>
          <w:rtl/>
          <w:lang w:bidi="he-IL"/>
        </w:rPr>
        <w:t>חידושי הריטב"א מסכת ביצה דף יד עמוד ב</w:t>
      </w:r>
    </w:p>
    <w:p w14:paraId="53AF2EA7" w14:textId="246C747A" w:rsidR="006214A7" w:rsidRPr="00B80BC8" w:rsidRDefault="006214A7" w:rsidP="006214A7">
      <w:pPr>
        <w:bidi/>
        <w:jc w:val="both"/>
        <w:rPr>
          <w:rFonts w:cs="Arial"/>
          <w:sz w:val="28"/>
          <w:szCs w:val="28"/>
          <w:lang w:bidi="he-IL"/>
        </w:rPr>
      </w:pPr>
      <w:r w:rsidRPr="00B80BC8">
        <w:rPr>
          <w:rFonts w:cs="Arial"/>
          <w:sz w:val="28"/>
          <w:szCs w:val="28"/>
          <w:rtl/>
          <w:lang w:bidi="he-IL"/>
        </w:rPr>
        <w:t xml:space="preserve">ומה שנהגו להדליק נרות בבית הכנסת לצורך תפלת ערבית נראה לי טעמא משום דנרות בית הכנסת לאו להאיר לחוד עביד להו </w:t>
      </w:r>
      <w:r w:rsidRPr="00B80BC8">
        <w:rPr>
          <w:rFonts w:cs="Arial"/>
          <w:b/>
          <w:bCs/>
          <w:sz w:val="28"/>
          <w:szCs w:val="28"/>
          <w:rtl/>
          <w:lang w:bidi="he-IL"/>
        </w:rPr>
        <w:t>אלא לכבוד</w:t>
      </w:r>
      <w:r w:rsidRPr="00B80BC8">
        <w:rPr>
          <w:rFonts w:cs="Arial"/>
          <w:sz w:val="28"/>
          <w:szCs w:val="28"/>
          <w:rtl/>
          <w:lang w:bidi="he-IL"/>
        </w:rPr>
        <w:t xml:space="preserve"> ואפילו בשחר מדליקין אותן וכל היום ראויות לכך, וכדאמרינן במדרש על כן באורים כבדו ה' (ישעיה כ"ד) במה מכבדים אותו ר' ייבא בר כהנא אמר באלין פנסייאתא פי' עששיות ונרות שבבתי כנסיות, והוצרכתי לפרש כל זה מפני שראיתי בהרבה מקומות בגליל הזה שמזלזלין בדברים אלו וראוי לגעור בהם,</w:t>
      </w:r>
    </w:p>
    <w:p w14:paraId="6EED39A1" w14:textId="77777777" w:rsidR="007B163A" w:rsidRPr="00B80BC8" w:rsidRDefault="007B163A" w:rsidP="007B163A">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cs="Arial"/>
          <w:sz w:val="28"/>
          <w:szCs w:val="28"/>
          <w:rtl/>
        </w:rPr>
      </w:pPr>
      <w:r w:rsidRPr="00B80BC8">
        <w:rPr>
          <w:rFonts w:cs="Arial"/>
          <w:sz w:val="28"/>
          <w:szCs w:val="28"/>
          <w:rtl/>
          <w:lang w:bidi="he-IL"/>
        </w:rPr>
        <w:t>פלא יועץ - הדלקה</w:t>
      </w:r>
    </w:p>
    <w:p w14:paraId="504796A4" w14:textId="174A3F6D" w:rsidR="007B163A" w:rsidRPr="00B80BC8" w:rsidRDefault="007B163A" w:rsidP="007B163A">
      <w:pPr>
        <w:bidi/>
        <w:jc w:val="both"/>
        <w:rPr>
          <w:rFonts w:cs="Arial"/>
          <w:sz w:val="28"/>
          <w:szCs w:val="28"/>
          <w:lang w:bidi="he-IL"/>
        </w:rPr>
      </w:pPr>
      <w:r w:rsidRPr="00B80BC8">
        <w:rPr>
          <w:rFonts w:cs="Arial"/>
          <w:sz w:val="28"/>
          <w:szCs w:val="28"/>
          <w:rtl/>
          <w:lang w:bidi="he-IL"/>
        </w:rPr>
        <w:t xml:space="preserve">הדלקה עושה מצוה בנרות שבת ונרות חנוכה (וכמו שאכתוב בער' נר) והדלקת נרות בבהכ"נ ג"כ מצוה כדכתיב באורים כבדו ה' אמנם </w:t>
      </w:r>
      <w:r w:rsidRPr="00B80BC8">
        <w:rPr>
          <w:rFonts w:cs="Arial"/>
          <w:sz w:val="28"/>
          <w:szCs w:val="28"/>
          <w:lang w:bidi="he-IL"/>
        </w:rPr>
        <w:t>….</w:t>
      </w:r>
      <w:r w:rsidRPr="00B80BC8">
        <w:rPr>
          <w:rFonts w:cs="Arial"/>
          <w:sz w:val="28"/>
          <w:szCs w:val="28"/>
          <w:rtl/>
          <w:lang w:bidi="he-IL"/>
        </w:rPr>
        <w:t xml:space="preserve"> ובזה יזכה לאור מצוה ותורה אור לו ולזרעו וראיתי אנשי מעש' שהיו מחבבים הדלקת נרות בהכ"נ ולא היו מניחים אותה לעשות ע"י שמש הכנסת אלא הם בעצמם ובכבודם מדליקים אותם </w:t>
      </w:r>
      <w:r w:rsidRPr="00B80BC8">
        <w:rPr>
          <w:rFonts w:cs="Arial"/>
          <w:i/>
          <w:iCs/>
          <w:sz w:val="28"/>
          <w:szCs w:val="28"/>
          <w:rtl/>
          <w:lang w:bidi="he-IL"/>
        </w:rPr>
        <w:t>ושמעתי שיש מקומות שמוכרין ההדלקה ובודאי שזהו חיבוב מצוה ומנהג יפה הוא</w:t>
      </w:r>
      <w:r w:rsidRPr="00B80BC8">
        <w:rPr>
          <w:rFonts w:cs="Arial"/>
          <w:sz w:val="28"/>
          <w:szCs w:val="28"/>
          <w:rtl/>
          <w:lang w:bidi="he-IL"/>
        </w:rPr>
        <w:t xml:space="preserve"> וידוע מארז"ל שמה שזכה שאול למלוכה היה על זכות זקינו שהיה מדליק נרות במבואות האפלים ועושה חסד עם הרבים וכן דבורה זכתה לנבואה ע"י שהיתה מכוונת לעשות פתילות עבות לבהמ"ק ישמע חכם ויוסיף לקח ויעשה את אשר בכחו לעשות טוב וה' יתן הטוב </w:t>
      </w:r>
      <w:r w:rsidRPr="00B80BC8">
        <w:rPr>
          <w:rFonts w:cs="Arial"/>
          <w:sz w:val="28"/>
          <w:szCs w:val="28"/>
          <w:lang w:bidi="he-IL"/>
        </w:rPr>
        <w:t>….</w:t>
      </w:r>
    </w:p>
    <w:p w14:paraId="32D9CB83" w14:textId="3902CE57" w:rsidR="007B163A" w:rsidRPr="00B80BC8" w:rsidRDefault="007B163A" w:rsidP="007B163A">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cs="Arial"/>
          <w:sz w:val="28"/>
          <w:szCs w:val="28"/>
          <w:rtl/>
          <w:lang w:bidi="he-IL"/>
        </w:rPr>
      </w:pPr>
      <w:r w:rsidRPr="00B80BC8">
        <w:rPr>
          <w:rFonts w:cs="Arial"/>
          <w:sz w:val="28"/>
          <w:szCs w:val="28"/>
          <w:rtl/>
          <w:lang w:bidi="he-IL"/>
        </w:rPr>
        <w:t>ספר מהרי"ל (מנהגים) הלכות תפילה</w:t>
      </w:r>
    </w:p>
    <w:p w14:paraId="783C89E6" w14:textId="77777777" w:rsidR="00EE6B39" w:rsidRPr="00B80BC8" w:rsidRDefault="007B163A" w:rsidP="00EE6B39">
      <w:pPr>
        <w:bidi/>
        <w:spacing w:after="0"/>
        <w:jc w:val="both"/>
        <w:rPr>
          <w:rFonts w:cs="Arial"/>
          <w:sz w:val="28"/>
          <w:szCs w:val="28"/>
          <w:rtl/>
          <w:lang w:bidi="he-IL"/>
        </w:rPr>
      </w:pPr>
      <w:r w:rsidRPr="00B80BC8">
        <w:rPr>
          <w:rFonts w:cs="Arial"/>
          <w:sz w:val="28"/>
          <w:szCs w:val="28"/>
          <w:rtl/>
          <w:lang w:bidi="he-IL"/>
        </w:rPr>
        <w:t>[ד] היה רגיל להיות לו נר שעוה דולק בכל יום בבה"כ בשעת תפלה. וגם היה לו נר שעוה מיוחד לשבת. ואם נשאר לו חתיכה מנר שבת במוצאו היה מחזיקו והיה מדבקו על גבי נר החול כשצריך לכך. [ולא היה מספיק את עצמו - בסליחות דימים נוראים - מן הנרות הקטנים של בית הכנסת, רק היו מיוחדים משלו כשהיה צריך להם]</w:t>
      </w:r>
      <w:r w:rsidRPr="00B80BC8">
        <w:rPr>
          <w:rFonts w:cs="Arial"/>
          <w:sz w:val="28"/>
          <w:szCs w:val="28"/>
          <w:lang w:bidi="he-IL"/>
        </w:rPr>
        <w:t>.</w:t>
      </w:r>
      <w:r w:rsidRPr="00B80BC8">
        <w:rPr>
          <w:rFonts w:cs="Arial"/>
          <w:sz w:val="28"/>
          <w:szCs w:val="28"/>
          <w:rtl/>
          <w:lang w:bidi="he-IL"/>
        </w:rPr>
        <w:t>מנהג ריינוס שמקדשין ומבדילין על היין בבה"כ והוא היה רגיל לקנות אותה המצוה לתת אותו היין לבית הכנסת</w:t>
      </w:r>
      <w:r w:rsidRPr="00B80BC8">
        <w:rPr>
          <w:rFonts w:cs="Arial"/>
          <w:sz w:val="28"/>
          <w:szCs w:val="28"/>
          <w:lang w:bidi="he-IL"/>
        </w:rPr>
        <w:t xml:space="preserve">. </w:t>
      </w:r>
      <w:r w:rsidRPr="00B80BC8">
        <w:rPr>
          <w:rFonts w:cs="Arial"/>
          <w:sz w:val="28"/>
          <w:szCs w:val="28"/>
          <w:rtl/>
          <w:lang w:bidi="he-IL"/>
        </w:rPr>
        <w:t xml:space="preserve"> </w:t>
      </w:r>
    </w:p>
    <w:p w14:paraId="166FE6AE" w14:textId="309207D4" w:rsidR="007B163A" w:rsidRPr="00B80BC8" w:rsidRDefault="007B163A" w:rsidP="00EE6B39">
      <w:pPr>
        <w:bidi/>
        <w:spacing w:after="0"/>
        <w:jc w:val="both"/>
        <w:rPr>
          <w:rFonts w:cs="Arial"/>
          <w:sz w:val="28"/>
          <w:szCs w:val="28"/>
          <w:rtl/>
          <w:lang w:bidi="he-IL"/>
        </w:rPr>
      </w:pPr>
      <w:r w:rsidRPr="00B80BC8">
        <w:rPr>
          <w:rFonts w:cs="Arial"/>
          <w:sz w:val="28"/>
          <w:szCs w:val="28"/>
          <w:rtl/>
          <w:lang w:bidi="he-IL"/>
        </w:rPr>
        <w:t>[ה] כשהיה מתפלל עם בחורים בחדרו אחר חזרת ההלכה היה מדליק שם נר אחד קטן של שעוה.</w:t>
      </w:r>
    </w:p>
    <w:p w14:paraId="6D431FD0" w14:textId="4328598F" w:rsidR="00EE6B39" w:rsidRPr="00B80BC8" w:rsidRDefault="00EE6B39" w:rsidP="00EE6B39">
      <w:pPr>
        <w:bidi/>
        <w:spacing w:after="0"/>
        <w:jc w:val="both"/>
        <w:rPr>
          <w:rFonts w:cs="Arial"/>
          <w:sz w:val="28"/>
          <w:szCs w:val="28"/>
          <w:rtl/>
          <w:lang w:bidi="he-IL"/>
        </w:rPr>
      </w:pPr>
    </w:p>
    <w:p w14:paraId="1CE5A50D" w14:textId="0575BE8C" w:rsidR="00EE6B39" w:rsidRPr="00B80BC8" w:rsidRDefault="00EE6B39" w:rsidP="00EE6B39">
      <w:pPr>
        <w:pBdr>
          <w:top w:val="single" w:sz="4" w:space="1" w:color="auto"/>
          <w:left w:val="single" w:sz="4" w:space="4" w:color="auto"/>
          <w:bottom w:val="single" w:sz="4" w:space="1" w:color="auto"/>
          <w:right w:val="single" w:sz="4" w:space="0" w:color="auto"/>
        </w:pBdr>
        <w:shd w:val="clear" w:color="auto" w:fill="D0CECE" w:themeFill="background2" w:themeFillShade="E6"/>
        <w:bidi/>
        <w:spacing w:after="0"/>
        <w:jc w:val="center"/>
        <w:rPr>
          <w:rFonts w:cs="Arial"/>
          <w:sz w:val="28"/>
          <w:szCs w:val="28"/>
          <w:rtl/>
          <w:lang w:bidi="he-IL"/>
        </w:rPr>
      </w:pPr>
      <w:r w:rsidRPr="00B80BC8">
        <w:rPr>
          <w:rFonts w:cs="Arial"/>
          <w:sz w:val="28"/>
          <w:szCs w:val="28"/>
          <w:rtl/>
          <w:lang w:bidi="he-IL"/>
        </w:rPr>
        <w:lastRenderedPageBreak/>
        <w:t>ספר כלבו סימן יז</w:t>
      </w:r>
    </w:p>
    <w:p w14:paraId="7E00AB79" w14:textId="111BAF8B" w:rsidR="00EE6B39" w:rsidRPr="00B80BC8" w:rsidRDefault="00EE6B39" w:rsidP="00EE6B39">
      <w:pPr>
        <w:bidi/>
        <w:spacing w:after="0"/>
        <w:jc w:val="both"/>
        <w:rPr>
          <w:rFonts w:cs="Arial"/>
          <w:sz w:val="28"/>
          <w:szCs w:val="28"/>
          <w:rtl/>
          <w:lang w:bidi="he-IL"/>
        </w:rPr>
      </w:pPr>
      <w:r w:rsidRPr="00B80BC8">
        <w:rPr>
          <w:rFonts w:cs="Arial"/>
          <w:sz w:val="28"/>
          <w:szCs w:val="28"/>
          <w:rtl/>
          <w:lang w:bidi="he-IL"/>
        </w:rPr>
        <w:t>וכתב הרבי אשר ז"ל נהגו כל העולם להדליק נר בבית הכנסת קודם שיכנס אדם שם להתפלל ונראה בעיני כי טעם המנהג הזה משום הא דאמרינן בברכות עשרה קדמא שכינה ואתיא, על כן צריך להדליק הנר ולהקדים, ועוד מפני שכן היו עושין במקדש</w:t>
      </w:r>
    </w:p>
    <w:p w14:paraId="68B708DF" w14:textId="11CA9E86" w:rsidR="00EE6B39" w:rsidRPr="00B80BC8" w:rsidRDefault="00C75303" w:rsidP="00C75303">
      <w:pPr>
        <w:pBdr>
          <w:top w:val="single" w:sz="4" w:space="1" w:color="auto"/>
          <w:left w:val="single" w:sz="4" w:space="4" w:color="auto"/>
          <w:bottom w:val="single" w:sz="4" w:space="1" w:color="auto"/>
          <w:right w:val="single" w:sz="4" w:space="4" w:color="auto"/>
        </w:pBdr>
        <w:shd w:val="clear" w:color="auto" w:fill="D0CECE" w:themeFill="background2" w:themeFillShade="E6"/>
        <w:bidi/>
        <w:spacing w:after="0"/>
        <w:jc w:val="center"/>
        <w:rPr>
          <w:rFonts w:cs="Arial"/>
          <w:sz w:val="28"/>
          <w:szCs w:val="28"/>
          <w:rtl/>
        </w:rPr>
      </w:pPr>
      <w:r w:rsidRPr="00B80BC8">
        <w:rPr>
          <w:rFonts w:cs="Arial"/>
          <w:sz w:val="28"/>
          <w:szCs w:val="28"/>
          <w:rtl/>
          <w:lang w:bidi="he-IL"/>
        </w:rPr>
        <w:t>שולחן ערוך אורח חיים הלכות יום טוב סימן תקיד</w:t>
      </w:r>
      <w:r w:rsidRPr="00B80BC8">
        <w:rPr>
          <w:rFonts w:cs="Arial"/>
          <w:sz w:val="28"/>
          <w:szCs w:val="28"/>
          <w:lang w:bidi="he-IL"/>
        </w:rPr>
        <w:t xml:space="preserve"> </w:t>
      </w:r>
      <w:r w:rsidR="00EE6B39" w:rsidRPr="00B80BC8">
        <w:rPr>
          <w:rFonts w:cs="Arial"/>
          <w:sz w:val="28"/>
          <w:szCs w:val="28"/>
          <w:rtl/>
          <w:lang w:bidi="he-IL"/>
        </w:rPr>
        <w:t>סעיף ה</w:t>
      </w:r>
    </w:p>
    <w:p w14:paraId="6E2A2130" w14:textId="253031E7" w:rsidR="00EE6B39" w:rsidRPr="00B80BC8" w:rsidRDefault="00EE6B39" w:rsidP="00EE6B39">
      <w:pPr>
        <w:bidi/>
        <w:spacing w:after="0"/>
        <w:jc w:val="both"/>
        <w:rPr>
          <w:rFonts w:cs="Arial"/>
          <w:sz w:val="28"/>
          <w:szCs w:val="28"/>
          <w:rtl/>
          <w:lang w:bidi="he-IL"/>
        </w:rPr>
      </w:pPr>
      <w:r w:rsidRPr="00B80BC8">
        <w:rPr>
          <w:rFonts w:cs="Arial"/>
          <w:sz w:val="28"/>
          <w:szCs w:val="28"/>
          <w:rtl/>
          <w:lang w:bidi="he-IL"/>
        </w:rPr>
        <w:t>נר של בטלה, דהיינו שאינו צריך לו, אסור להדליקו; אבל  של בית הכנסת לא חשיב של בטלה ומותר להדליקו אפי' בי"ט שני אחר מנחה, ואין בזה משום מכין לחול, שהרי בהדלקתו יש מצוה לאותה שעה. ולתקן הפתילות והעששיות בי"ט אחר מנחה, אם רוצה להדליק בו ביום, מותר; ואם לאו, אסור.</w:t>
      </w:r>
    </w:p>
    <w:p w14:paraId="44F73FBD" w14:textId="5C5500D0" w:rsidR="00C75303" w:rsidRPr="00B80BC8" w:rsidRDefault="00C75303" w:rsidP="00C75303">
      <w:pPr>
        <w:bidi/>
        <w:spacing w:after="0"/>
        <w:jc w:val="both"/>
        <w:rPr>
          <w:rFonts w:cs="Arial"/>
          <w:sz w:val="28"/>
          <w:szCs w:val="28"/>
          <w:rtl/>
          <w:lang w:bidi="he-IL"/>
        </w:rPr>
      </w:pPr>
    </w:p>
    <w:p w14:paraId="1A4558D8" w14:textId="452A0774" w:rsidR="00944D73" w:rsidRPr="00B80BC8" w:rsidRDefault="00944D73" w:rsidP="00C75303">
      <w:pPr>
        <w:pBdr>
          <w:top w:val="single" w:sz="4" w:space="1" w:color="auto"/>
          <w:left w:val="single" w:sz="4" w:space="4" w:color="auto"/>
          <w:bottom w:val="single" w:sz="4" w:space="1" w:color="auto"/>
          <w:right w:val="single" w:sz="4" w:space="4" w:color="auto"/>
        </w:pBdr>
        <w:shd w:val="clear" w:color="auto" w:fill="D0CECE" w:themeFill="background2" w:themeFillShade="E6"/>
        <w:bidi/>
        <w:jc w:val="center"/>
        <w:rPr>
          <w:sz w:val="28"/>
          <w:szCs w:val="28"/>
          <w:rtl/>
        </w:rPr>
      </w:pPr>
      <w:r w:rsidRPr="00B80BC8">
        <w:rPr>
          <w:rFonts w:cs="Arial"/>
          <w:sz w:val="28"/>
          <w:szCs w:val="28"/>
          <w:rtl/>
          <w:lang w:bidi="he-IL"/>
        </w:rPr>
        <w:t>פרשת תצוה</w:t>
      </w:r>
    </w:p>
    <w:p w14:paraId="716E231E" w14:textId="6E98A81A" w:rsidR="005E4071" w:rsidRPr="00B80BC8" w:rsidRDefault="00944D73" w:rsidP="00F11368">
      <w:pPr>
        <w:bidi/>
        <w:jc w:val="both"/>
        <w:rPr>
          <w:rFonts w:cs="Arial"/>
          <w:sz w:val="28"/>
          <w:szCs w:val="28"/>
          <w:rtl/>
          <w:lang w:bidi="he-IL"/>
        </w:rPr>
      </w:pPr>
      <w:r w:rsidRPr="00B80BC8">
        <w:rPr>
          <w:rFonts w:cs="Arial"/>
          <w:sz w:val="28"/>
          <w:szCs w:val="28"/>
          <w:rtl/>
        </w:rPr>
        <w:t>(</w:t>
      </w:r>
      <w:r w:rsidRPr="00B80BC8">
        <w:rPr>
          <w:rFonts w:cs="Arial"/>
          <w:sz w:val="28"/>
          <w:szCs w:val="28"/>
          <w:rtl/>
          <w:lang w:bidi="he-IL"/>
        </w:rPr>
        <w:t xml:space="preserve">כ) וְאַתָּה תְּצַוֶּה אֶת בְּנֵי יִשְׂרָאֵל וְיִקְחוּ אֵלֶיךָ שֶׁמֶן זַיִת זָךְ כָּתִית לַמָּאוֹר לְהַעֲלֹת </w:t>
      </w:r>
      <w:r w:rsidRPr="00B80BC8">
        <w:rPr>
          <w:rFonts w:cs="Arial"/>
          <w:b/>
          <w:bCs/>
          <w:sz w:val="28"/>
          <w:szCs w:val="28"/>
          <w:rtl/>
          <w:lang w:bidi="he-IL"/>
        </w:rPr>
        <w:t>נֵר תָּמִיד</w:t>
      </w:r>
      <w:r w:rsidRPr="00B80BC8">
        <w:rPr>
          <w:sz w:val="28"/>
          <w:szCs w:val="28"/>
        </w:rPr>
        <w:t>:</w:t>
      </w:r>
      <w:r w:rsidRPr="00B80BC8">
        <w:rPr>
          <w:rFonts w:cs="Arial"/>
          <w:sz w:val="28"/>
          <w:szCs w:val="28"/>
          <w:rtl/>
        </w:rPr>
        <w:t>(</w:t>
      </w:r>
      <w:r w:rsidRPr="00B80BC8">
        <w:rPr>
          <w:rFonts w:cs="Arial"/>
          <w:sz w:val="28"/>
          <w:szCs w:val="28"/>
          <w:rtl/>
          <w:lang w:bidi="he-IL"/>
        </w:rPr>
        <w:t>כא) בְּאֹהֶל מוֹעֵד מִחוּץ לַפָּרֹכֶת אֲשֶׁר עַל הָעֵדֻת יַעֲרֹךְ אֹתוֹ אַהֲרֹן וּבָנָיו מֵעֶרֶב עַד בֹּקֶר לִפְנֵי יְקֹוָק חֻקַּת עוֹלָם לְדֹרֹתָם מֵאֵת בְּנֵי יִשְׂרָאֵל: ס</w:t>
      </w:r>
    </w:p>
    <w:p w14:paraId="2774BEEA" w14:textId="26370327" w:rsidR="00C75303" w:rsidRPr="00B80BC8" w:rsidRDefault="00C75303" w:rsidP="00C75303">
      <w:pPr>
        <w:pBdr>
          <w:top w:val="single" w:sz="4" w:space="1" w:color="auto"/>
          <w:left w:val="single" w:sz="4" w:space="4" w:color="auto"/>
          <w:bottom w:val="single" w:sz="4" w:space="1" w:color="auto"/>
          <w:right w:val="single" w:sz="4" w:space="4" w:color="auto"/>
        </w:pBdr>
        <w:shd w:val="clear" w:color="auto" w:fill="D0CECE" w:themeFill="background2" w:themeFillShade="E6"/>
        <w:bidi/>
        <w:jc w:val="center"/>
        <w:rPr>
          <w:rFonts w:cs="Arial"/>
          <w:sz w:val="28"/>
          <w:szCs w:val="28"/>
          <w:rtl/>
          <w:lang w:bidi="he-IL"/>
        </w:rPr>
      </w:pPr>
      <w:r w:rsidRPr="00B80BC8">
        <w:rPr>
          <w:rFonts w:cs="Arial"/>
          <w:sz w:val="28"/>
          <w:szCs w:val="28"/>
          <w:rtl/>
          <w:lang w:bidi="he-IL"/>
        </w:rPr>
        <w:t>ויקרא פרשת צו פרק ו</w:t>
      </w:r>
    </w:p>
    <w:p w14:paraId="7175E15B" w14:textId="1236C071" w:rsidR="00C75303" w:rsidRPr="00B80BC8" w:rsidRDefault="00C75303" w:rsidP="00C75303">
      <w:pPr>
        <w:bidi/>
        <w:jc w:val="center"/>
        <w:rPr>
          <w:rFonts w:cs="Arial"/>
          <w:sz w:val="28"/>
          <w:szCs w:val="28"/>
          <w:rtl/>
          <w:lang w:bidi="he-IL"/>
        </w:rPr>
      </w:pPr>
      <w:r w:rsidRPr="00B80BC8">
        <w:rPr>
          <w:rFonts w:cs="Arial"/>
          <w:sz w:val="28"/>
          <w:szCs w:val="28"/>
          <w:rtl/>
          <w:lang w:bidi="he-IL"/>
        </w:rPr>
        <w:t>(ו) אֵשׁ תָּמִיד תּוּקַד עַל הַמִּזְבֵּחַ לֹא תִכְבֶּה: ס</w:t>
      </w:r>
    </w:p>
    <w:p w14:paraId="598178EE" w14:textId="6C35B871" w:rsidR="001F097C" w:rsidRPr="00B80BC8" w:rsidRDefault="001F097C" w:rsidP="001F097C">
      <w:pPr>
        <w:pBdr>
          <w:top w:val="single" w:sz="4" w:space="1" w:color="auto"/>
          <w:left w:val="single" w:sz="4" w:space="4" w:color="auto"/>
          <w:bottom w:val="single" w:sz="4" w:space="1" w:color="auto"/>
          <w:right w:val="single" w:sz="4" w:space="4" w:color="auto"/>
        </w:pBdr>
        <w:shd w:val="clear" w:color="auto" w:fill="D0CECE" w:themeFill="background2" w:themeFillShade="E6"/>
        <w:bidi/>
        <w:jc w:val="center"/>
        <w:rPr>
          <w:rFonts w:cs="Arial"/>
          <w:sz w:val="28"/>
          <w:szCs w:val="28"/>
          <w:rtl/>
          <w:lang w:bidi="he-IL"/>
        </w:rPr>
      </w:pPr>
      <w:r w:rsidRPr="00B80BC8">
        <w:rPr>
          <w:rFonts w:cs="Arial"/>
          <w:sz w:val="28"/>
          <w:szCs w:val="28"/>
          <w:rtl/>
          <w:lang w:bidi="he-IL"/>
        </w:rPr>
        <w:t>שמואל ב פרק ו</w:t>
      </w:r>
    </w:p>
    <w:p w14:paraId="141F412E" w14:textId="484BA0BA" w:rsidR="001F097C" w:rsidRPr="00B80BC8" w:rsidRDefault="001F097C" w:rsidP="000C28D2">
      <w:pPr>
        <w:bidi/>
        <w:jc w:val="both"/>
        <w:rPr>
          <w:rFonts w:cs="Arial"/>
          <w:sz w:val="28"/>
          <w:szCs w:val="28"/>
          <w:lang w:bidi="he-IL"/>
        </w:rPr>
      </w:pPr>
      <w:r w:rsidRPr="00B80BC8">
        <w:rPr>
          <w:rFonts w:cs="Arial"/>
          <w:sz w:val="28"/>
          <w:szCs w:val="28"/>
          <w:rtl/>
          <w:lang w:bidi="he-IL"/>
        </w:rPr>
        <w:t>ט) וַיִּרָא דָוִד אֶת יְקֹוָק בַּיּוֹם הַהוּא וַיֹּאמֶר אֵיךְ יָבוֹא אֵלַי אֲרוֹן יְקֹוָק</w:t>
      </w:r>
      <w:r w:rsidRPr="00B80BC8">
        <w:rPr>
          <w:rFonts w:cs="Arial"/>
          <w:sz w:val="28"/>
          <w:szCs w:val="28"/>
          <w:lang w:bidi="he-IL"/>
        </w:rPr>
        <w:t>:</w:t>
      </w:r>
      <w:r w:rsidRPr="00B80BC8">
        <w:rPr>
          <w:rFonts w:cs="Arial"/>
          <w:sz w:val="28"/>
          <w:szCs w:val="28"/>
        </w:rPr>
        <w:t xml:space="preserve">  </w:t>
      </w:r>
      <w:r w:rsidRPr="00B80BC8">
        <w:rPr>
          <w:rFonts w:cs="Arial"/>
          <w:sz w:val="28"/>
          <w:szCs w:val="28"/>
          <w:rtl/>
          <w:lang w:bidi="he-IL"/>
        </w:rPr>
        <w:t>(י) וְלֹא אָבָה דָוִד לְהָסִיר אֵלָיו אֶת אֲרוֹן יְקֹוָק עַל עִיר דָּוִד וַיַּטֵּהוּ דָוִד בֵּית עֹבֵד אֱדוֹם הַגִּתִּי</w:t>
      </w:r>
      <w:r w:rsidRPr="00B80BC8">
        <w:rPr>
          <w:rFonts w:cs="Arial"/>
          <w:sz w:val="28"/>
          <w:szCs w:val="28"/>
          <w:lang w:bidi="he-IL"/>
        </w:rPr>
        <w:t>:</w:t>
      </w:r>
      <w:r w:rsidRPr="00B80BC8">
        <w:rPr>
          <w:rFonts w:cs="Arial"/>
          <w:sz w:val="28"/>
          <w:szCs w:val="28"/>
          <w:rtl/>
          <w:lang w:bidi="he-IL"/>
        </w:rPr>
        <w:t xml:space="preserve">  (יא) וַיֵּשֶׁב אֲרוֹן יְקֹוָק בֵּית עֹבֵד אֱדֹם הַגִּתִּי שְׁלֹשָׁה חֳדָשִׁים וַיְבָרֶךְ יְקֹוָק אֶת עֹבֵד אֱדֹם וְאֶת כָּל בֵּית</w:t>
      </w:r>
    </w:p>
    <w:p w14:paraId="1861E853" w14:textId="77777777" w:rsidR="000C28D2" w:rsidRPr="00B80BC8" w:rsidRDefault="000C28D2" w:rsidP="000C28D2">
      <w:pPr>
        <w:bidi/>
        <w:jc w:val="both"/>
        <w:rPr>
          <w:rFonts w:cs="Arial"/>
          <w:sz w:val="28"/>
          <w:szCs w:val="28"/>
          <w:rtl/>
          <w:lang w:bidi="he-IL"/>
        </w:rPr>
      </w:pPr>
    </w:p>
    <w:p w14:paraId="7C2FF22A" w14:textId="3765AF42" w:rsidR="001F097C" w:rsidRPr="00B80BC8" w:rsidRDefault="001F097C" w:rsidP="001F097C">
      <w:pPr>
        <w:pBdr>
          <w:top w:val="single" w:sz="4" w:space="1" w:color="auto"/>
          <w:left w:val="single" w:sz="4" w:space="4" w:color="auto"/>
          <w:bottom w:val="single" w:sz="4" w:space="1" w:color="auto"/>
          <w:right w:val="single" w:sz="4" w:space="4" w:color="auto"/>
        </w:pBdr>
        <w:shd w:val="clear" w:color="auto" w:fill="D0CECE" w:themeFill="background2" w:themeFillShade="E6"/>
        <w:bidi/>
        <w:jc w:val="center"/>
        <w:rPr>
          <w:rFonts w:cs="Arial"/>
          <w:sz w:val="28"/>
          <w:szCs w:val="28"/>
          <w:rtl/>
          <w:lang w:bidi="he-IL"/>
        </w:rPr>
      </w:pPr>
      <w:r w:rsidRPr="00B80BC8">
        <w:rPr>
          <w:rFonts w:cs="Arial"/>
          <w:sz w:val="28"/>
          <w:szCs w:val="28"/>
          <w:rtl/>
          <w:lang w:bidi="he-IL"/>
        </w:rPr>
        <w:t>שו"ת יחוה דעת חלק ה סימן ס</w:t>
      </w:r>
    </w:p>
    <w:p w14:paraId="006F2902" w14:textId="5C59CD90" w:rsidR="001F097C" w:rsidRPr="00B80BC8" w:rsidRDefault="001F097C" w:rsidP="001F097C">
      <w:pPr>
        <w:bidi/>
        <w:jc w:val="both"/>
        <w:rPr>
          <w:rFonts w:cs="Arial"/>
          <w:sz w:val="28"/>
          <w:szCs w:val="28"/>
          <w:rtl/>
        </w:rPr>
      </w:pPr>
      <w:r w:rsidRPr="00B80BC8">
        <w:rPr>
          <w:rFonts w:cs="Arial"/>
          <w:sz w:val="28"/>
          <w:szCs w:val="28"/>
          <w:rtl/>
          <w:lang w:bidi="he-IL"/>
        </w:rPr>
        <w:t xml:space="preserve">ועיין בשו"ת מהר"ם שיק (חלק אורח חיים סימן פג) שכתב, שאפשר לצאת בנרות של נפט לנר תמיד של בית הכנסת. ולמד מזה בשו"ת מלמד להועיל (חלק אורח חיים סימן כב), שהוא הדין לגבי נר נשמה של יאר צייט. (וראה עוד בשו"ת מלמד להועיל חלק אורח חיים סימן כא שכתב שפשט המנהג לצאת ידי חובת נר תמיד של בית הכנסת במנורת גאז, ונסתייע ממה שפסק בשו"ת בית יצחק הנ"ל, שיוצאים ידי חובת הדלקת נרות שבת בגאז או חשמל. ע"ש). אמנם הגאון רבי אליהו קלצקין בשו"ת דבר הלכה (סימן לו) כתב, שאין להדליק חשמל במקום נר נשמה. וכן כתב בשו"ת משנה הלכות חלק ה' (סימן ע'), שרק בשעת הדחק שאינו יכול להדליק נר שעוה ליאר צייט, ידליק נר חשמל. וכן כתב בשו"ת ירושת פלטה (סימן ו'). אולם בספר כל בו על הלכות אבלות (עמוד שצז) הביא מכמה </w:t>
      </w:r>
      <w:r w:rsidRPr="00B80BC8">
        <w:rPr>
          <w:rFonts w:cs="Arial"/>
          <w:sz w:val="28"/>
          <w:szCs w:val="28"/>
          <w:rtl/>
          <w:lang w:bidi="he-IL"/>
        </w:rPr>
        <w:lastRenderedPageBreak/>
        <w:t>אחרונים שכתבו על פי דברי הבית יצחק הנ"ל, שיוצאים ידי המנהג בנר חשמל ליאר צייט. ע"ש. וכן נראה להלכה ולמעשה. [וראה בשו"ת תורה לשמה סימן תק"כ]</w:t>
      </w:r>
      <w:r w:rsidRPr="00B80BC8">
        <w:rPr>
          <w:rFonts w:cs="Arial"/>
          <w:sz w:val="28"/>
          <w:szCs w:val="28"/>
          <w:lang w:bidi="he-IL"/>
        </w:rPr>
        <w:t xml:space="preserve">. </w:t>
      </w:r>
    </w:p>
    <w:p w14:paraId="4A2E801F" w14:textId="42AE3701" w:rsidR="001F097C" w:rsidRPr="00B80BC8" w:rsidRDefault="001F097C" w:rsidP="001F097C">
      <w:pPr>
        <w:bidi/>
        <w:jc w:val="both"/>
        <w:rPr>
          <w:rFonts w:cs="Arial"/>
          <w:sz w:val="28"/>
          <w:szCs w:val="28"/>
          <w:lang w:bidi="he-IL"/>
        </w:rPr>
      </w:pPr>
      <w:r w:rsidRPr="00B80BC8">
        <w:rPr>
          <w:rFonts w:cs="Arial"/>
          <w:sz w:val="28"/>
          <w:szCs w:val="28"/>
          <w:rtl/>
          <w:lang w:bidi="he-IL"/>
        </w:rPr>
        <w:t xml:space="preserve"> בסיכום: אפשר לצאת ידי המנהג של הדלקת נר נשמה לעילוי נשמת ההורים בנר חשמלי. ומה טוב להתנדב עבור הדלקת מנורות החשמל של בתי המדרש שעוסקים בתורה לאור החשמל, שבזה יגרום לעילוי נשמתם של הנפטרים. ויהיו למליצי יושר עליו. </w:t>
      </w:r>
    </w:p>
    <w:p w14:paraId="3F774224" w14:textId="77777777" w:rsidR="00D1599F" w:rsidRPr="00B80BC8" w:rsidRDefault="00D1599F" w:rsidP="00D1599F">
      <w:pPr>
        <w:pBdr>
          <w:top w:val="single" w:sz="4" w:space="1" w:color="auto"/>
          <w:left w:val="single" w:sz="4" w:space="4" w:color="auto"/>
          <w:bottom w:val="single" w:sz="4" w:space="1" w:color="auto"/>
          <w:right w:val="single" w:sz="4" w:space="4" w:color="auto"/>
        </w:pBdr>
        <w:shd w:val="clear" w:color="auto" w:fill="D0CECE" w:themeFill="background2" w:themeFillShade="E6"/>
        <w:bidi/>
        <w:jc w:val="center"/>
        <w:rPr>
          <w:rFonts w:cs="Arial"/>
          <w:sz w:val="28"/>
          <w:szCs w:val="28"/>
          <w:rtl/>
        </w:rPr>
      </w:pPr>
      <w:r w:rsidRPr="00B80BC8">
        <w:rPr>
          <w:rFonts w:cs="Arial"/>
          <w:sz w:val="28"/>
          <w:szCs w:val="28"/>
          <w:rtl/>
          <w:lang w:bidi="he-IL"/>
        </w:rPr>
        <w:t>תשובות והנהגות כרך א סימן תשב (ב)</w:t>
      </w:r>
    </w:p>
    <w:p w14:paraId="44478235" w14:textId="18DBE08F" w:rsidR="00D1599F" w:rsidRPr="00B80BC8" w:rsidRDefault="00D1599F" w:rsidP="00D1599F">
      <w:pPr>
        <w:bidi/>
        <w:jc w:val="both"/>
        <w:rPr>
          <w:rFonts w:cs="Arial"/>
          <w:sz w:val="28"/>
          <w:szCs w:val="28"/>
          <w:rtl/>
        </w:rPr>
      </w:pPr>
      <w:r w:rsidRPr="00B80BC8">
        <w:rPr>
          <w:rFonts w:cs="Arial"/>
          <w:sz w:val="28"/>
          <w:szCs w:val="28"/>
        </w:rPr>
        <w:t xml:space="preserve">  </w:t>
      </w:r>
      <w:r w:rsidRPr="00B80BC8">
        <w:rPr>
          <w:rFonts w:cs="Arial"/>
          <w:sz w:val="28"/>
          <w:szCs w:val="28"/>
          <w:rtl/>
          <w:lang w:bidi="he-IL"/>
        </w:rPr>
        <w:t>שאלה: מה עדיף להדליק ביאהרצייט נר של שעוה או שמן זית או כל שמן</w:t>
      </w:r>
      <w:r w:rsidRPr="00B80BC8">
        <w:rPr>
          <w:rFonts w:cs="Arial"/>
          <w:sz w:val="28"/>
          <w:szCs w:val="28"/>
          <w:lang w:bidi="he-IL"/>
        </w:rPr>
        <w:t xml:space="preserve"> </w:t>
      </w:r>
    </w:p>
    <w:p w14:paraId="065B0360" w14:textId="77777777" w:rsidR="00D1599F" w:rsidRPr="00B80BC8" w:rsidRDefault="00D1599F" w:rsidP="00D1599F">
      <w:pPr>
        <w:bidi/>
        <w:jc w:val="both"/>
        <w:rPr>
          <w:rFonts w:cs="Arial"/>
          <w:sz w:val="28"/>
          <w:szCs w:val="28"/>
          <w:rtl/>
        </w:rPr>
      </w:pPr>
      <w:r w:rsidRPr="00B80BC8">
        <w:rPr>
          <w:rFonts w:cs="Arial"/>
          <w:sz w:val="28"/>
          <w:szCs w:val="28"/>
          <w:lang w:bidi="he-IL"/>
        </w:rPr>
        <w:t xml:space="preserve"> </w:t>
      </w:r>
      <w:r w:rsidRPr="00B80BC8">
        <w:rPr>
          <w:rFonts w:cs="Arial"/>
          <w:sz w:val="28"/>
          <w:szCs w:val="28"/>
          <w:rtl/>
          <w:lang w:bidi="he-IL"/>
        </w:rPr>
        <w:t>הנה נהגו להדליק ביאהרצייט נר לעלוי נשמת הנפטר, ונר אלקים נשמת אדם, והרמז כשם שפתילה מוקף בשמן והפתילה לבד דולק, כך הנשמה בגוף ואור הנשמה מאיר, ולפי זה ברור שהמצוה בפתילה ואור ולא מהני נר "אלקטרי" ונראה דלהנ"ל גם נר שעוה שפיר דמי, וכן הוא בלקט יושר הלכות שבת (מ"ט) מביא שביום שמת בו אביו מדליקין נר של שעוה, וכנראה מפני שהאור צלול ומאיר וניכר יותר וכמו שמבואר ברמ"א (תרע"ג) כי אורה צלול ועולה למעלה ודוקא בחנוכה י"א דבעי שמן דומיא דמקדש</w:t>
      </w:r>
      <w:r w:rsidRPr="00B80BC8">
        <w:rPr>
          <w:rFonts w:cs="Arial"/>
          <w:sz w:val="28"/>
          <w:szCs w:val="28"/>
          <w:lang w:bidi="he-IL"/>
        </w:rPr>
        <w:t xml:space="preserve">. </w:t>
      </w:r>
    </w:p>
    <w:p w14:paraId="6C9D1E5D" w14:textId="77777777" w:rsidR="00D1599F" w:rsidRPr="00B80BC8" w:rsidRDefault="00D1599F" w:rsidP="00D1599F">
      <w:pPr>
        <w:bidi/>
        <w:jc w:val="both"/>
        <w:rPr>
          <w:rFonts w:cs="Arial"/>
          <w:sz w:val="28"/>
          <w:szCs w:val="28"/>
          <w:rtl/>
        </w:rPr>
      </w:pPr>
      <w:r w:rsidRPr="00B80BC8">
        <w:rPr>
          <w:rFonts w:cs="Arial"/>
          <w:sz w:val="28"/>
          <w:szCs w:val="28"/>
          <w:lang w:bidi="he-IL"/>
        </w:rPr>
        <w:t xml:space="preserve"> </w:t>
      </w:r>
      <w:r w:rsidRPr="00B80BC8">
        <w:rPr>
          <w:rFonts w:cs="Arial"/>
          <w:sz w:val="28"/>
          <w:szCs w:val="28"/>
          <w:rtl/>
          <w:lang w:bidi="he-IL"/>
        </w:rPr>
        <w:t>ושמעתי מדוד"ז הגר"א פינס ז"ל שבבית א"ז רבינו הגדול הגר"א זצ"ל, כנראה לא החזיקו כלל במנהג להדליק נר ליאהרצייט, אבל כבר הבאנו שזהו מנהג קדמון וכמבואר ב"לקט יושר", ולדעתי העיקר להדליק בבית הכנסת ולקיים כבדו באורים ה', והגר"א זצ"ל אף לא שמיע ליה להדליק בבית, אבל בבית הכנסת מ"מ נראה שיש בזה תיקון נאה גם לדבריו, ואין לשנות המנהג, וכיון שאצלנו נר שעוה מאיר יותר ולא דמי לאבוקה שכולו בוער רק הפתילה לבד דולק, נראה שמצוה מן המובחר בשעוה וכמ"ש, אבל באלקטרי נראה שאין יוצאין לנר נשמה, ולכבוד בעלמא נהגו להדליק להזכירו ולכבדו בכך (ובשם הגה"ק האדמו"ר מסאטמר רבי יואל טייטלבוים זצ"ל שראוי ליקח נר של שמן זית)</w:t>
      </w:r>
      <w:r w:rsidRPr="00B80BC8">
        <w:rPr>
          <w:rFonts w:cs="Arial"/>
          <w:sz w:val="28"/>
          <w:szCs w:val="28"/>
          <w:lang w:bidi="he-IL"/>
        </w:rPr>
        <w:t xml:space="preserve">. </w:t>
      </w:r>
    </w:p>
    <w:p w14:paraId="3080F296" w14:textId="14D15D11" w:rsidR="00D1599F" w:rsidRPr="00B80BC8" w:rsidRDefault="00D1599F" w:rsidP="00D1599F">
      <w:pPr>
        <w:bidi/>
        <w:jc w:val="both"/>
        <w:rPr>
          <w:rFonts w:cs="Arial"/>
          <w:sz w:val="24"/>
          <w:szCs w:val="24"/>
          <w:lang w:bidi="he-IL"/>
        </w:rPr>
      </w:pPr>
      <w:r w:rsidRPr="00B80BC8">
        <w:rPr>
          <w:rFonts w:cs="Arial"/>
          <w:sz w:val="28"/>
          <w:szCs w:val="28"/>
          <w:rtl/>
          <w:lang w:bidi="he-IL"/>
        </w:rPr>
        <w:t xml:space="preserve"> ובספר אלף המגן מביא שמדליקין הנר יאהרצייט בבית הכנסת, והנשמה ביום זה יש לה רשות לשוט בעולם ויש לה מזה נחת רוח בנר נשמה ע"ש, ונוהגין בעת הדלקה לומר "אני מדליק נר זה לעלוי נשמת אבי פלוני בן פלוני" אבל העיקר ביאהרצייט להרבות בצדקה לימוד משניות ומעשים טובים, שזהו עיקר התיקון לנשמה</w:t>
      </w:r>
      <w:r w:rsidRPr="00B80BC8">
        <w:rPr>
          <w:rFonts w:cs="Arial"/>
          <w:sz w:val="24"/>
          <w:szCs w:val="24"/>
          <w:rtl/>
          <w:lang w:bidi="he-IL"/>
        </w:rPr>
        <w:t xml:space="preserve">.  </w:t>
      </w:r>
    </w:p>
    <w:bookmarkEnd w:id="0"/>
    <w:p w14:paraId="3EEC183D" w14:textId="026AA572" w:rsidR="004A1655" w:rsidRDefault="004A1655" w:rsidP="004A1655">
      <w:pPr>
        <w:bidi/>
        <w:jc w:val="both"/>
        <w:rPr>
          <w:rFonts w:cs="Arial"/>
          <w:lang w:bidi="he-IL"/>
        </w:rPr>
      </w:pPr>
    </w:p>
    <w:p w14:paraId="5059AC41" w14:textId="3D394383" w:rsidR="004A1655" w:rsidRDefault="004A1655" w:rsidP="004A1655">
      <w:pPr>
        <w:bidi/>
        <w:jc w:val="center"/>
        <w:rPr>
          <w:rFonts w:cs="Arial"/>
          <w:lang w:bidi="he-IL"/>
        </w:rPr>
      </w:pPr>
      <w:r>
        <w:rPr>
          <w:noProof/>
        </w:rPr>
        <w:lastRenderedPageBreak/>
        <w:drawing>
          <wp:inline distT="0" distB="0" distL="0" distR="0" wp14:anchorId="61A279DF" wp14:editId="312A422B">
            <wp:extent cx="29622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62275" cy="1666875"/>
                    </a:xfrm>
                    <a:prstGeom prst="rect">
                      <a:avLst/>
                    </a:prstGeom>
                  </pic:spPr>
                </pic:pic>
              </a:graphicData>
            </a:graphic>
          </wp:inline>
        </w:drawing>
      </w:r>
    </w:p>
    <w:p w14:paraId="58DFD4E6" w14:textId="6C351FAD" w:rsidR="004A1655" w:rsidRDefault="004A1655" w:rsidP="004A1655">
      <w:pPr>
        <w:bidi/>
        <w:jc w:val="center"/>
        <w:rPr>
          <w:rFonts w:cs="Arial"/>
          <w:lang w:bidi="he-IL"/>
        </w:rPr>
      </w:pPr>
    </w:p>
    <w:p w14:paraId="57D85A27" w14:textId="77777777" w:rsidR="004A1655" w:rsidRDefault="004A1655" w:rsidP="004A1655">
      <w:pPr>
        <w:bidi/>
        <w:jc w:val="center"/>
        <w:rPr>
          <w:noProof/>
        </w:rPr>
      </w:pPr>
      <w:r>
        <w:rPr>
          <w:noProof/>
        </w:rPr>
        <w:drawing>
          <wp:inline distT="0" distB="0" distL="0" distR="0" wp14:anchorId="018DFE27" wp14:editId="5F6E3FF0">
            <wp:extent cx="3248025" cy="3095625"/>
            <wp:effectExtent l="57150" t="57150" r="12382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8025" cy="309562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r w:rsidRPr="004A1655">
        <w:rPr>
          <w:noProof/>
        </w:rPr>
        <w:t xml:space="preserve"> </w:t>
      </w:r>
    </w:p>
    <w:p w14:paraId="17BD1972" w14:textId="77777777" w:rsidR="00836263" w:rsidRDefault="00836263" w:rsidP="00836263">
      <w:pPr>
        <w:bidi/>
        <w:jc w:val="center"/>
        <w:rPr>
          <w:rFonts w:cs="Arial"/>
          <w:lang w:bidi="he-IL"/>
        </w:rPr>
      </w:pPr>
    </w:p>
    <w:p w14:paraId="45EC0D85" w14:textId="77777777" w:rsidR="00836263" w:rsidRDefault="00836263" w:rsidP="00836263">
      <w:pPr>
        <w:bidi/>
        <w:jc w:val="center"/>
        <w:rPr>
          <w:rFonts w:cs="Arial"/>
          <w:lang w:bidi="he-IL"/>
        </w:rPr>
      </w:pPr>
    </w:p>
    <w:p w14:paraId="4D0D2CC1" w14:textId="42743F82" w:rsidR="004A1655" w:rsidRDefault="004A1655" w:rsidP="00836263">
      <w:pPr>
        <w:bidi/>
        <w:jc w:val="center"/>
        <w:rPr>
          <w:rFonts w:cs="Arial"/>
          <w:rtl/>
          <w:lang w:bidi="he-IL"/>
        </w:rPr>
      </w:pPr>
      <w:r>
        <w:rPr>
          <w:noProof/>
        </w:rPr>
        <w:lastRenderedPageBreak/>
        <w:drawing>
          <wp:anchor distT="0" distB="0" distL="114300" distR="114300" simplePos="0" relativeHeight="251658240" behindDoc="0" locked="0" layoutInCell="1" allowOverlap="1" wp14:anchorId="0969EF34" wp14:editId="765F5607">
            <wp:simplePos x="0" y="0"/>
            <wp:positionH relativeFrom="column">
              <wp:posOffset>1514475</wp:posOffset>
            </wp:positionH>
            <wp:positionV relativeFrom="paragraph">
              <wp:posOffset>57150</wp:posOffset>
            </wp:positionV>
            <wp:extent cx="3228975" cy="2400300"/>
            <wp:effectExtent l="57150" t="57150" r="123825" b="1143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28975" cy="2400300"/>
                    </a:xfrm>
                    <a:prstGeom prst="rect">
                      <a:avLst/>
                    </a:prstGeom>
                    <a:ln>
                      <a:solidFill>
                        <a:schemeClr val="tx1"/>
                      </a:solidFill>
                    </a:ln>
                    <a:effectLst>
                      <a:outerShdw blurRad="50800" dist="38100" dir="2700000" algn="tl" rotWithShape="0">
                        <a:prstClr val="black">
                          <a:alpha val="40000"/>
                        </a:prstClr>
                      </a:outerShdw>
                    </a:effectLst>
                  </pic:spPr>
                </pic:pic>
              </a:graphicData>
            </a:graphic>
          </wp:anchor>
        </w:drawing>
      </w:r>
    </w:p>
    <w:p w14:paraId="00B52689" w14:textId="4094141C" w:rsidR="00836263" w:rsidRPr="00836263" w:rsidRDefault="00836263" w:rsidP="00836263">
      <w:pPr>
        <w:bidi/>
        <w:rPr>
          <w:rFonts w:cs="Arial"/>
          <w:lang w:bidi="he-IL"/>
        </w:rPr>
      </w:pPr>
    </w:p>
    <w:p w14:paraId="0BD454D0" w14:textId="6BC657F2" w:rsidR="00836263" w:rsidRPr="00836263" w:rsidRDefault="00836263" w:rsidP="00836263">
      <w:pPr>
        <w:bidi/>
        <w:rPr>
          <w:rFonts w:cs="Arial"/>
          <w:lang w:bidi="he-IL"/>
        </w:rPr>
      </w:pPr>
    </w:p>
    <w:p w14:paraId="3328DB72" w14:textId="41777A0F" w:rsidR="00836263" w:rsidRPr="00836263" w:rsidRDefault="00836263" w:rsidP="00836263">
      <w:pPr>
        <w:bidi/>
        <w:rPr>
          <w:rFonts w:cs="Arial"/>
          <w:lang w:bidi="he-IL"/>
        </w:rPr>
      </w:pPr>
    </w:p>
    <w:p w14:paraId="1F925C88" w14:textId="4CF48108" w:rsidR="00836263" w:rsidRPr="00836263" w:rsidRDefault="00836263" w:rsidP="00836263">
      <w:pPr>
        <w:bidi/>
        <w:rPr>
          <w:rFonts w:cs="Arial"/>
          <w:lang w:bidi="he-IL"/>
        </w:rPr>
      </w:pPr>
    </w:p>
    <w:p w14:paraId="5B06EF83" w14:textId="341F6C1A" w:rsidR="00836263" w:rsidRPr="00836263" w:rsidRDefault="00836263" w:rsidP="00836263">
      <w:pPr>
        <w:bidi/>
        <w:rPr>
          <w:rFonts w:cs="Arial"/>
          <w:lang w:bidi="he-IL"/>
        </w:rPr>
      </w:pPr>
    </w:p>
    <w:p w14:paraId="3482F06C" w14:textId="1E4E23F2" w:rsidR="00836263" w:rsidRPr="00836263" w:rsidRDefault="00836263" w:rsidP="00836263">
      <w:pPr>
        <w:bidi/>
        <w:rPr>
          <w:rFonts w:cs="Arial"/>
          <w:lang w:bidi="he-IL"/>
        </w:rPr>
      </w:pPr>
    </w:p>
    <w:p w14:paraId="36C5C40C" w14:textId="5BFEBEA0" w:rsidR="00836263" w:rsidRPr="00836263" w:rsidRDefault="00836263" w:rsidP="00836263">
      <w:pPr>
        <w:bidi/>
        <w:rPr>
          <w:rFonts w:cs="Arial"/>
          <w:lang w:bidi="he-IL"/>
        </w:rPr>
      </w:pPr>
    </w:p>
    <w:p w14:paraId="56E3D7CA" w14:textId="7DDA4E26" w:rsidR="00836263" w:rsidRPr="00836263" w:rsidRDefault="00836263" w:rsidP="00836263">
      <w:pPr>
        <w:bidi/>
        <w:rPr>
          <w:rFonts w:cs="Arial"/>
          <w:lang w:bidi="he-IL"/>
        </w:rPr>
      </w:pPr>
    </w:p>
    <w:p w14:paraId="3AF50BFB" w14:textId="08540564" w:rsidR="00836263" w:rsidRPr="00836263" w:rsidRDefault="00836263" w:rsidP="00836263">
      <w:pPr>
        <w:bidi/>
        <w:rPr>
          <w:rFonts w:cs="Arial"/>
          <w:lang w:bidi="he-IL"/>
        </w:rPr>
      </w:pPr>
    </w:p>
    <w:p w14:paraId="5F333CA6" w14:textId="1A5F8FDE" w:rsidR="00836263" w:rsidRPr="00836263" w:rsidRDefault="00836263" w:rsidP="00836263">
      <w:pPr>
        <w:bidi/>
        <w:rPr>
          <w:rFonts w:cs="Arial"/>
          <w:lang w:bidi="he-IL"/>
        </w:rPr>
      </w:pPr>
      <w:r>
        <w:rPr>
          <w:noProof/>
        </w:rPr>
        <w:drawing>
          <wp:anchor distT="0" distB="0" distL="114300" distR="114300" simplePos="0" relativeHeight="251659264" behindDoc="0" locked="0" layoutInCell="1" allowOverlap="1" wp14:anchorId="15489F0C" wp14:editId="63C556EF">
            <wp:simplePos x="0" y="0"/>
            <wp:positionH relativeFrom="column">
              <wp:posOffset>1457325</wp:posOffset>
            </wp:positionH>
            <wp:positionV relativeFrom="paragraph">
              <wp:posOffset>21590</wp:posOffset>
            </wp:positionV>
            <wp:extent cx="3324225" cy="4019550"/>
            <wp:effectExtent l="57150" t="57150" r="123825" b="1143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24225" cy="4019550"/>
                    </a:xfrm>
                    <a:prstGeom prst="rect">
                      <a:avLst/>
                    </a:prstGeom>
                    <a:ln>
                      <a:solidFill>
                        <a:schemeClr val="tx1"/>
                      </a:solidFill>
                    </a:ln>
                    <a:effectLst>
                      <a:outerShdw blurRad="50800" dist="38100" dir="2700000" algn="tl" rotWithShape="0">
                        <a:prstClr val="black">
                          <a:alpha val="40000"/>
                        </a:prstClr>
                      </a:outerShdw>
                    </a:effectLst>
                  </pic:spPr>
                </pic:pic>
              </a:graphicData>
            </a:graphic>
          </wp:anchor>
        </w:drawing>
      </w:r>
    </w:p>
    <w:p w14:paraId="69253CE3" w14:textId="7B475C29" w:rsidR="00836263" w:rsidRPr="00836263" w:rsidRDefault="00836263" w:rsidP="00836263">
      <w:pPr>
        <w:bidi/>
        <w:rPr>
          <w:rFonts w:cs="Arial"/>
          <w:lang w:bidi="he-IL"/>
        </w:rPr>
      </w:pPr>
    </w:p>
    <w:p w14:paraId="409838A1" w14:textId="2AC1407F" w:rsidR="00836263" w:rsidRDefault="00836263" w:rsidP="00836263">
      <w:pPr>
        <w:bidi/>
        <w:rPr>
          <w:rFonts w:cs="Arial"/>
          <w:lang w:bidi="he-IL"/>
        </w:rPr>
      </w:pPr>
    </w:p>
    <w:p w14:paraId="52D410F7" w14:textId="7DDE6620" w:rsidR="00836263" w:rsidRPr="00836263" w:rsidRDefault="00836263" w:rsidP="00836263">
      <w:pPr>
        <w:tabs>
          <w:tab w:val="left" w:pos="2715"/>
        </w:tabs>
        <w:bidi/>
        <w:rPr>
          <w:rFonts w:cs="Arial"/>
          <w:rtl/>
          <w:lang w:bidi="he-IL"/>
        </w:rPr>
      </w:pPr>
      <w:r>
        <w:rPr>
          <w:rFonts w:cs="Arial"/>
          <w:rtl/>
          <w:lang w:bidi="he-IL"/>
        </w:rPr>
        <w:tab/>
      </w:r>
    </w:p>
    <w:sectPr w:rsidR="00836263" w:rsidRPr="00836263" w:rsidSect="009E6C5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73"/>
    <w:rsid w:val="000225D4"/>
    <w:rsid w:val="000C28D2"/>
    <w:rsid w:val="001F097C"/>
    <w:rsid w:val="002D6696"/>
    <w:rsid w:val="004A1655"/>
    <w:rsid w:val="005E4071"/>
    <w:rsid w:val="006214A7"/>
    <w:rsid w:val="007B163A"/>
    <w:rsid w:val="00836263"/>
    <w:rsid w:val="00944D73"/>
    <w:rsid w:val="009E6C5D"/>
    <w:rsid w:val="00B80BC8"/>
    <w:rsid w:val="00C75303"/>
    <w:rsid w:val="00CC4756"/>
    <w:rsid w:val="00D1599F"/>
    <w:rsid w:val="00EE6B39"/>
    <w:rsid w:val="00F113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C8E2"/>
  <w15:chartTrackingRefBased/>
  <w15:docId w15:val="{3B1937A6-8EBA-4A3D-8880-CBE1EB2E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D4"/>
    <w:rPr>
      <w:rFonts w:ascii="Segoe UI" w:hAnsi="Segoe UI" w:cs="Segoe UI"/>
      <w:sz w:val="18"/>
      <w:szCs w:val="18"/>
    </w:rPr>
  </w:style>
  <w:style w:type="paragraph" w:styleId="NoSpacing">
    <w:name w:val="No Spacing"/>
    <w:link w:val="NoSpacingChar"/>
    <w:uiPriority w:val="1"/>
    <w:qFormat/>
    <w:rsid w:val="009E6C5D"/>
    <w:pPr>
      <w:spacing w:after="0" w:line="240" w:lineRule="auto"/>
    </w:pPr>
    <w:rPr>
      <w:rFonts w:eastAsiaTheme="minorEastAsia"/>
    </w:rPr>
  </w:style>
  <w:style w:type="character" w:customStyle="1" w:styleId="NoSpacingChar">
    <w:name w:val="No Spacing Char"/>
    <w:basedOn w:val="DefaultParagraphFont"/>
    <w:link w:val="NoSpacing"/>
    <w:uiPriority w:val="1"/>
    <w:rsid w:val="009E6C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glossaryDocument" Target="glossary/document.xml"/><Relationship Id="rId4" Type="http://schemas.openxmlformats.org/officeDocument/2006/relationships/image" Target="media/image1.jpe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35DAFA49994E79BA410F76D4CA9B17"/>
        <w:category>
          <w:name w:val="General"/>
          <w:gallery w:val="placeholder"/>
        </w:category>
        <w:types>
          <w:type w:val="bbPlcHdr"/>
        </w:types>
        <w:behaviors>
          <w:behavior w:val="content"/>
        </w:behaviors>
        <w:guid w:val="{6781D646-CDD2-4047-91F7-274383651114}"/>
      </w:docPartPr>
      <w:docPartBody>
        <w:p w:rsidR="00000000" w:rsidRDefault="00A96265" w:rsidP="00A96265">
          <w:pPr>
            <w:pStyle w:val="3535DAFA49994E79BA410F76D4CA9B17"/>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65"/>
    <w:rsid w:val="00346F5E"/>
    <w:rsid w:val="00A96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435D40AD447AEAE2C426295DC167D">
    <w:name w:val="D81435D40AD447AEAE2C426295DC167D"/>
    <w:rsid w:val="00A96265"/>
  </w:style>
  <w:style w:type="paragraph" w:customStyle="1" w:styleId="81ED53DE03DE4A03A9C9E3AC6FE57D89">
    <w:name w:val="81ED53DE03DE4A03A9C9E3AC6FE57D89"/>
    <w:rsid w:val="00A96265"/>
  </w:style>
  <w:style w:type="paragraph" w:customStyle="1" w:styleId="CE9393BCCB3F4AB39FF492CBF07DD422">
    <w:name w:val="CE9393BCCB3F4AB39FF492CBF07DD422"/>
    <w:rsid w:val="00A96265"/>
  </w:style>
  <w:style w:type="paragraph" w:customStyle="1" w:styleId="3535DAFA49994E79BA410F76D4CA9B17">
    <w:name w:val="3535DAFA49994E79BA410F76D4CA9B17"/>
    <w:rsid w:val="00A96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1809</TotalTime>
  <Pages>6</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RENEWING OUR SHUL EXPERIENCE</dc:title>
  <dc:subject/>
  <dc:creator>Andrew Markowitz</dc:creator>
  <cp:keywords/>
  <dc:description/>
  <cp:lastModifiedBy>Andrew Markowitz</cp:lastModifiedBy>
  <cp:revision>4</cp:revision>
  <dcterms:created xsi:type="dcterms:W3CDTF">2019-09-19T17:38:00Z</dcterms:created>
  <dcterms:modified xsi:type="dcterms:W3CDTF">2019-09-27T17:29:00Z</dcterms:modified>
</cp:coreProperties>
</file>