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/>
      </w:pP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</w:p>
    <w:p w:rsidR="00000000" w:rsidDel="00000000" w:rsidP="00000000" w:rsidRDefault="00000000" w:rsidRPr="00000000" w14:paraId="00000001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צולטאן</w:t>
      </w:r>
    </w:p>
    <w:p w:rsidR="00000000" w:rsidDel="00000000" w:rsidP="00000000" w:rsidRDefault="00000000" w:rsidRPr="00000000" w14:paraId="00000002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וישפשף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האשכנזים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שפשוף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לתפלת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בדקדוק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לס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פפויפר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ind w:left="720" w:firstLine="720"/>
        <w:contextualSpacing w:val="0"/>
        <w:rPr/>
      </w:pP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וישפשף</w:t>
      </w:r>
      <w:r w:rsidDel="00000000" w:rsidR="00000000" w:rsidRPr="00000000">
        <w:rPr>
          <w:rtl w:val="1"/>
        </w:rPr>
        <w:t xml:space="preserve">"' </w:t>
      </w:r>
      <w:r w:rsidDel="00000000" w:rsidR="00000000" w:rsidRPr="00000000">
        <w:rPr>
          <w:rtl w:val="1"/>
        </w:rPr>
        <w:t xml:space="preserve">ויל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וחיכוך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המטונף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המטונף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המטונף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והתקדשתם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בנגיעה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בכתבי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תקנד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מבוטשטאש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ומהגרש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אויערבאך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חיכוך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שמסופקים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שצויינו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בשיפשוף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המטונף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לבשר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ובזמ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F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הגרשז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שבראשם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כשיחכך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הטנופת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ומבאור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</w:t>
      </w:r>
      <w:r w:rsidDel="00000000" w:rsidR="00000000" w:rsidRPr="00000000">
        <w:rPr>
          <w:rtl w:val="1"/>
        </w:rPr>
        <w:t xml:space="preserve">'?</w:t>
      </w:r>
    </w:p>
    <w:p w:rsidR="00000000" w:rsidDel="00000000" w:rsidP="00000000" w:rsidRDefault="00000000" w:rsidRPr="00000000" w14:paraId="00000013">
      <w:pPr>
        <w:bidi w:val="1"/>
        <w:ind w:left="0" w:firstLine="0"/>
        <w:contextualSpacing w:val="0"/>
        <w:rPr/>
      </w:pPr>
      <w:r w:rsidDel="00000000" w:rsidR="00000000" w:rsidRPr="00000000">
        <w:rPr>
          <w:rtl w:val="1"/>
        </w:rPr>
        <w:t xml:space="preserve">המח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4">
      <w:pPr>
        <w:bidi w:val="1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</w:p>
    <w:p w:rsidR="00000000" w:rsidDel="00000000" w:rsidP="00000000" w:rsidRDefault="00000000" w:rsidRPr="00000000" w14:paraId="00000016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ind w:left="1440" w:firstLine="0"/>
        <w:contextualSpacing w:val="0"/>
        <w:rPr/>
      </w:pPr>
      <w:r w:rsidDel="00000000" w:rsidR="00000000" w:rsidRPr="00000000">
        <w:rPr>
          <w:rtl w:val="1"/>
        </w:rPr>
        <w:t xml:space="preserve">כללא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וידיו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מטונפות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שמשמשות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הטנופות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וגומר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צרכיו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וקנח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לקטנים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ושפשף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כשידיו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מטונפות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שמשמשות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הטנופת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</w:p>
    <w:p w:rsidR="00000000" w:rsidDel="00000000" w:rsidP="00000000" w:rsidRDefault="00000000" w:rsidRPr="00000000" w14:paraId="00000018">
      <w:pPr>
        <w:bidi w:val="1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ind w:left="0" w:firstLine="720"/>
        <w:contextualSpacing w:val="0"/>
        <w:rPr/>
      </w:pPr>
      <w:r w:rsidDel="00000000" w:rsidR="00000000" w:rsidRPr="00000000">
        <w:rPr>
          <w:rtl w:val="1"/>
        </w:rPr>
        <w:t xml:space="preserve">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ind w:left="1440" w:firstLine="0"/>
        <w:contextualSpacing w:val="0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</w:p>
    <w:p w:rsidR="00000000" w:rsidDel="00000000" w:rsidP="00000000" w:rsidRDefault="00000000" w:rsidRPr="00000000" w14:paraId="0000001B">
      <w:pPr>
        <w:bidi w:val="1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ind w:left="0" w:firstLine="720"/>
        <w:contextualSpacing w:val="0"/>
        <w:rPr/>
      </w:pPr>
      <w:r w:rsidDel="00000000" w:rsidR="00000000" w:rsidRPr="00000000">
        <w:rPr>
          <w:rtl w:val="1"/>
        </w:rPr>
        <w:t xml:space="preserve">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כג</w:t>
      </w:r>
    </w:p>
    <w:p w:rsidR="00000000" w:rsidDel="00000000" w:rsidP="00000000" w:rsidRDefault="00000000" w:rsidRPr="00000000" w14:paraId="0000001D">
      <w:pPr>
        <w:bidi w:val="1"/>
        <w:ind w:left="1440" w:firstLine="0"/>
        <w:contextualSpacing w:val="0"/>
        <w:rPr/>
      </w:pP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המטונף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הערביתפ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</w:p>
    <w:p w:rsidR="00000000" w:rsidDel="00000000" w:rsidP="00000000" w:rsidRDefault="00000000" w:rsidRPr="00000000" w14:paraId="0000001E">
      <w:pPr>
        <w:bidi w:val="1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</w:p>
    <w:p w:rsidR="00000000" w:rsidDel="00000000" w:rsidP="00000000" w:rsidRDefault="00000000" w:rsidRPr="00000000" w14:paraId="00000020">
      <w:pPr>
        <w:bidi w:val="1"/>
        <w:ind w:left="1440" w:firstLine="0"/>
        <w:contextualSpacing w:val="0"/>
        <w:rPr/>
      </w:pP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u w:val="single"/>
          <w:rtl w:val="1"/>
        </w:rPr>
        <w:t xml:space="preserve">הידים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עסקניות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וממשמש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בלילה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מטונף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ונלמוד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לשאר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התפלות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</w:p>
    <w:p w:rsidR="00000000" w:rsidDel="00000000" w:rsidP="00000000" w:rsidRDefault="00000000" w:rsidRPr="00000000" w14:paraId="00000021">
      <w:pPr>
        <w:bidi w:val="1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ind w:left="0" w:firstLine="720"/>
        <w:contextualSpacing w:val="0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אבוהב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3">
      <w:pPr>
        <w:bidi w:val="1"/>
        <w:ind w:left="1440" w:firstLine="0"/>
        <w:contextualSpacing w:val="0"/>
        <w:rPr/>
      </w:pP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לנגע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בבשר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המטונף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מלוכלכות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נגע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בצואה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פשיטא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שצריך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לברך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הלכלוך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מגופו</w:t>
      </w:r>
    </w:p>
    <w:p w:rsidR="00000000" w:rsidDel="00000000" w:rsidP="00000000" w:rsidRDefault="00000000" w:rsidRPr="00000000" w14:paraId="00000024">
      <w:pPr>
        <w:bidi w:val="1"/>
        <w:ind w:left="0" w:firstLine="0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5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ind w:left="720" w:firstLine="0"/>
        <w:contextualSpacing w:val="0"/>
        <w:rPr/>
      </w:pP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קצג</w:t>
      </w:r>
    </w:p>
    <w:p w:rsidR="00000000" w:rsidDel="00000000" w:rsidP="00000000" w:rsidRDefault="00000000" w:rsidRPr="00000000" w14:paraId="00000027">
      <w:pPr>
        <w:bidi w:val="1"/>
        <w:ind w:left="1440" w:firstLine="0"/>
        <w:contextualSpacing w:val="0"/>
        <w:rPr/>
      </w:pP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הטינופת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נקרא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הטינופת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הטינופת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וירך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המכוסים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באדם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מלמולי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זיעה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שבזרועותיו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הטינופת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נוהגים</w:t>
      </w:r>
    </w:p>
    <w:p w:rsidR="00000000" w:rsidDel="00000000" w:rsidP="00000000" w:rsidRDefault="00000000" w:rsidRPr="00000000" w14:paraId="00000028">
      <w:pPr>
        <w:bidi w:val="1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הגרשז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ממטיל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שפשוף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בשפשוף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A">
      <w:pPr>
        <w:bidi w:val="1"/>
        <w:ind w:firstLine="72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הרחיבו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הגרשז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קדמוניות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מלשו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דמנקי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דנגע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2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בזוהמא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המטונפין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המצויינין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שורה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וזוהמא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ושעריו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3">
      <w:pPr>
        <w:bidi w:val="1"/>
        <w:ind w:left="0" w:firstLine="720"/>
        <w:contextualSpacing w:val="0"/>
        <w:rPr/>
      </w:pP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מבוטשאטש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הטנופת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מלוכלכות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טבילה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שהצריכו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דשיפשף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כדפירשתי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</w:t>
        <w:tab/>
      </w:r>
    </w:p>
    <w:p w:rsidR="00000000" w:rsidDel="00000000" w:rsidP="00000000" w:rsidRDefault="00000000" w:rsidRPr="00000000" w14:paraId="00000035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בחליצת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ind w:left="0"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ab/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באבודרהם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צפרנים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רעו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במרדכי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קצד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וארחות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שהאגודה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ונוגעין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ובמנעליהם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יתפללו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הורגלתי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דחליצת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בהתפלל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דבחליצת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הנטילת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ושיבתא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וראיה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כשיורדין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המטונפים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שיתפללו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המטונפים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''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כמטונפים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</w:p>
    <w:p w:rsidR="00000000" w:rsidDel="00000000" w:rsidP="00000000" w:rsidRDefault="00000000" w:rsidRPr="00000000" w14:paraId="0000003E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להפך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ומלוכלכים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שהמנעלים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שהיעב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וקציעה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והחולץ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מנעליו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פשוט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הדין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לנוגע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בהן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ישנים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מלוכלכין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משא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כ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בחדשים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אותן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אדם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עדיין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ודאי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והיינו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טעמא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דנסיב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חולץ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דהויא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מילתא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פסיקתא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דמשנעל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אותן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פעם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כבר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שורה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עליהן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רוח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רעה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דברגלים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נמי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פשיטא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אפילו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רחוצים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זוהמא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דבקה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בהן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ואותו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רוח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זוהמא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המנעלים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מיד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מכל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מקום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דתרתי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בעינן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והלך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בהן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פעם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הארץ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עכ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ל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ואף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לדחות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שכוונתו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בזוהמא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ור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לריח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ולכן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פשוט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דבר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ריח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וא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צ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ז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ראיה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אבל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מסתבר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לומר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הכי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שאחר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שנעל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המנעל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לפסיעה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כבר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ריח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רע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וכן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כ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למה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ברגלים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רחוצים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וזוהמא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רחצם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כלל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ריח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רע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אלא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צ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כוונתו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לסכנת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רוח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ומזיקים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רוחניים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וכן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אמר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ווידרבלנק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שפשטות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במו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ק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ומפורש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בש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</w:t>
      </w:r>
      <w:r w:rsidDel="00000000" w:rsidR="00000000" w:rsidRPr="00000000">
        <w:rPr>
          <w:color w:val="222222"/>
          <w:highlight w:val="white"/>
          <w:rtl w:val="1"/>
        </w:rPr>
        <w:t xml:space="preserve">' </w:t>
      </w:r>
      <w:r w:rsidDel="00000000" w:rsidR="00000000" w:rsidRPr="00000000">
        <w:rPr>
          <w:color w:val="222222"/>
          <w:highlight w:val="white"/>
          <w:rtl w:val="1"/>
        </w:rPr>
        <w:t xml:space="preserve">קכח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כז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וז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כשיורדין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הדוכן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יחזירו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אחוריהם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להיכל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יצדדו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ויחזירו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פניהם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קצת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להיכל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כתלמיד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הנפטר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מרבו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שמחזיר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פניו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אליו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בצאתו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מלפניו</w:t>
      </w:r>
      <w:r w:rsidDel="00000000" w:rsidR="00000000" w:rsidRPr="00000000">
        <w:rPr>
          <w:color w:val="222222"/>
          <w:highlight w:val="white"/>
          <w:rtl w:val="1"/>
        </w:rPr>
        <w:t xml:space="preserve">  </w:t>
      </w:r>
      <w:r w:rsidDel="00000000" w:rsidR="00000000" w:rsidRPr="00000000">
        <w:rPr>
          <w:color w:val="222222"/>
          <w:highlight w:val="white"/>
          <w:rtl w:val="1"/>
        </w:rPr>
        <w:t xml:space="preserve">ואחר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שירדו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יזהרו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יגעו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במנעליהם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המטונפים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נגעו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יטלו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ידיהם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לתפלה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שיתפללו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כ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ואף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אינם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מטונפים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צריכים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ליטול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ידיהם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נגעו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בהן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מפני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סכנת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רוח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רעה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כמ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בסימן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</w:t>
      </w:r>
      <w:r w:rsidDel="00000000" w:rsidR="00000000" w:rsidRPr="00000000">
        <w:rPr>
          <w:color w:val="222222"/>
          <w:highlight w:val="white"/>
          <w:rtl w:val="1"/>
        </w:rPr>
        <w:t xml:space="preserve">'. </w:t>
      </w:r>
      <w:r w:rsidDel="00000000" w:rsidR="00000000" w:rsidRPr="00000000">
        <w:rPr>
          <w:color w:val="222222"/>
          <w:highlight w:val="white"/>
          <w:rtl w:val="1"/>
        </w:rPr>
        <w:t xml:space="preserve">עכ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ל</w:t>
      </w:r>
      <w:r w:rsidDel="00000000" w:rsidR="00000000" w:rsidRPr="00000000">
        <w:rPr>
          <w:color w:val="222222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ind w:firstLine="720"/>
        <w:contextualSpacing w:val="0"/>
        <w:rPr/>
      </w:pP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מטונפות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דבקנוח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2">
      <w:pPr>
        <w:bidi w:val="1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