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F40AFE" w:rsidRDefault="00A2533D" w:rsidP="001760AF">
      <w:pPr>
        <w:spacing w:after="0" w:line="240" w:lineRule="auto"/>
        <w:rPr>
          <w:rFonts w:cs="FrankRuehl"/>
          <w:sz w:val="26"/>
          <w:szCs w:val="26"/>
          <w:rtl/>
        </w:rPr>
      </w:pPr>
      <w:r w:rsidRPr="00F40AFE">
        <w:rPr>
          <w:rFonts w:cs="FrankRuehl" w:hint="cs"/>
          <w:sz w:val="26"/>
          <w:szCs w:val="26"/>
          <w:rtl/>
        </w:rPr>
        <w:t xml:space="preserve">הרב א. קניגסברג       </w:t>
      </w:r>
      <w:r w:rsidR="00380F4E" w:rsidRPr="00F40AFE">
        <w:rPr>
          <w:rFonts w:cs="FrankRuehl" w:hint="cs"/>
          <w:sz w:val="26"/>
          <w:szCs w:val="26"/>
          <w:rtl/>
        </w:rPr>
        <w:t xml:space="preserve"> </w:t>
      </w:r>
      <w:r w:rsidR="00035131" w:rsidRPr="00F40AFE">
        <w:rPr>
          <w:rFonts w:cs="FrankRuehl" w:hint="cs"/>
          <w:sz w:val="26"/>
          <w:szCs w:val="26"/>
          <w:rtl/>
        </w:rPr>
        <w:t xml:space="preserve"> </w:t>
      </w:r>
      <w:r w:rsidR="00380F4E" w:rsidRPr="00F40AFE">
        <w:rPr>
          <w:rFonts w:cs="FrankRuehl" w:hint="cs"/>
          <w:sz w:val="26"/>
          <w:szCs w:val="26"/>
          <w:rtl/>
        </w:rPr>
        <w:t xml:space="preserve">       </w:t>
      </w:r>
      <w:r w:rsidR="00483CAB" w:rsidRPr="00F40AFE">
        <w:rPr>
          <w:rFonts w:cs="FrankRuehl" w:hint="cs"/>
          <w:sz w:val="26"/>
          <w:szCs w:val="26"/>
          <w:rtl/>
        </w:rPr>
        <w:t xml:space="preserve"> </w:t>
      </w:r>
      <w:r w:rsidR="001760AF">
        <w:rPr>
          <w:rFonts w:cs="FrankRuehl" w:hint="cs"/>
          <w:sz w:val="26"/>
          <w:szCs w:val="26"/>
          <w:rtl/>
        </w:rPr>
        <w:t xml:space="preserve"> </w:t>
      </w:r>
      <w:r w:rsidR="00D07084" w:rsidRPr="00F40AFE">
        <w:rPr>
          <w:rFonts w:cs="FrankRuehl" w:hint="cs"/>
          <w:sz w:val="26"/>
          <w:szCs w:val="26"/>
          <w:rtl/>
        </w:rPr>
        <w:t xml:space="preserve"> </w:t>
      </w:r>
      <w:r w:rsidRPr="00F40AFE">
        <w:rPr>
          <w:rFonts w:cs="FrankRuehl" w:hint="cs"/>
          <w:sz w:val="26"/>
          <w:szCs w:val="26"/>
          <w:rtl/>
        </w:rPr>
        <w:t xml:space="preserve"> </w:t>
      </w:r>
      <w:r w:rsidR="00380F4E" w:rsidRPr="00F40AFE">
        <w:rPr>
          <w:rFonts w:cs="FrankRuehl" w:hint="cs"/>
          <w:sz w:val="26"/>
          <w:szCs w:val="26"/>
          <w:rtl/>
        </w:rPr>
        <w:t xml:space="preserve">  </w:t>
      </w:r>
      <w:r w:rsidRPr="00F40AFE">
        <w:rPr>
          <w:rFonts w:cs="FrankRuehl" w:hint="cs"/>
          <w:sz w:val="26"/>
          <w:szCs w:val="26"/>
          <w:u w:val="single"/>
          <w:rtl/>
        </w:rPr>
        <w:t>שאלות לחזרה במס</w:t>
      </w:r>
      <w:r w:rsidR="001760AF">
        <w:rPr>
          <w:rFonts w:cs="FrankRuehl" w:hint="cs"/>
          <w:sz w:val="26"/>
          <w:szCs w:val="26"/>
          <w:u w:val="single"/>
          <w:rtl/>
        </w:rPr>
        <w:t>כת</w:t>
      </w:r>
      <w:r w:rsidRPr="00F40AFE">
        <w:rPr>
          <w:rFonts w:cs="FrankRuehl" w:hint="cs"/>
          <w:sz w:val="26"/>
          <w:szCs w:val="26"/>
          <w:u w:val="single"/>
          <w:rtl/>
        </w:rPr>
        <w:t xml:space="preserve"> </w:t>
      </w:r>
      <w:r w:rsidR="001760AF">
        <w:rPr>
          <w:rFonts w:cs="FrankRuehl" w:hint="cs"/>
          <w:sz w:val="26"/>
          <w:szCs w:val="26"/>
          <w:u w:val="single"/>
          <w:rtl/>
        </w:rPr>
        <w:t>כתובות</w:t>
      </w:r>
      <w:r w:rsidRPr="00F40AFE">
        <w:rPr>
          <w:rFonts w:cs="FrankRuehl" w:hint="cs"/>
          <w:sz w:val="26"/>
          <w:szCs w:val="26"/>
          <w:u w:val="single"/>
          <w:rtl/>
        </w:rPr>
        <w:t xml:space="preserve"> (</w:t>
      </w:r>
      <w:r w:rsidR="001760AF">
        <w:rPr>
          <w:rFonts w:cs="FrankRuehl" w:hint="cs"/>
          <w:sz w:val="26"/>
          <w:szCs w:val="26"/>
          <w:u w:val="single"/>
          <w:rtl/>
        </w:rPr>
        <w:t>כט.</w:t>
      </w:r>
      <w:r w:rsidR="00380F4E" w:rsidRPr="00F40AFE">
        <w:rPr>
          <w:rFonts w:cs="FrankRuehl" w:hint="cs"/>
          <w:sz w:val="26"/>
          <w:szCs w:val="26"/>
          <w:u w:val="single"/>
          <w:rtl/>
        </w:rPr>
        <w:t>-</w:t>
      </w:r>
      <w:r w:rsidR="001760AF">
        <w:rPr>
          <w:rFonts w:cs="FrankRuehl" w:hint="cs"/>
          <w:sz w:val="26"/>
          <w:szCs w:val="26"/>
          <w:u w:val="single"/>
          <w:rtl/>
        </w:rPr>
        <w:t>ל</w:t>
      </w:r>
      <w:r w:rsidR="00B35962" w:rsidRPr="00F40AFE">
        <w:rPr>
          <w:rFonts w:cs="FrankRuehl" w:hint="cs"/>
          <w:sz w:val="26"/>
          <w:szCs w:val="26"/>
          <w:u w:val="single"/>
          <w:rtl/>
        </w:rPr>
        <w:t>:</w:t>
      </w:r>
      <w:r w:rsidR="00380F4E" w:rsidRPr="00F40AFE">
        <w:rPr>
          <w:rFonts w:cs="FrankRuehl" w:hint="cs"/>
          <w:sz w:val="26"/>
          <w:szCs w:val="26"/>
          <w:u w:val="single"/>
          <w:rtl/>
        </w:rPr>
        <w:t>)</w:t>
      </w:r>
      <w:r w:rsidRPr="00F40AFE">
        <w:rPr>
          <w:rFonts w:cs="FrankRuehl" w:hint="cs"/>
          <w:sz w:val="26"/>
          <w:szCs w:val="26"/>
          <w:rtl/>
        </w:rPr>
        <w:tab/>
        <w:t xml:space="preserve"> </w:t>
      </w:r>
      <w:r w:rsidR="00380F4E" w:rsidRPr="00F40AFE">
        <w:rPr>
          <w:rFonts w:cs="FrankRuehl" w:hint="cs"/>
          <w:sz w:val="26"/>
          <w:szCs w:val="26"/>
          <w:rtl/>
        </w:rPr>
        <w:t xml:space="preserve"> </w:t>
      </w:r>
      <w:r w:rsidRPr="00F40AFE">
        <w:rPr>
          <w:rFonts w:cs="FrankRuehl" w:hint="cs"/>
          <w:sz w:val="26"/>
          <w:szCs w:val="26"/>
          <w:rtl/>
        </w:rPr>
        <w:t xml:space="preserve">  </w:t>
      </w:r>
      <w:r w:rsidR="00483CAB" w:rsidRPr="00F40AFE">
        <w:rPr>
          <w:rFonts w:cs="FrankRuehl" w:hint="cs"/>
          <w:sz w:val="26"/>
          <w:szCs w:val="26"/>
          <w:rtl/>
        </w:rPr>
        <w:t xml:space="preserve">  </w:t>
      </w:r>
      <w:r w:rsidRPr="00F40AFE">
        <w:rPr>
          <w:rFonts w:cs="FrankRuehl" w:hint="cs"/>
          <w:sz w:val="26"/>
          <w:szCs w:val="26"/>
          <w:rtl/>
        </w:rPr>
        <w:t xml:space="preserve">  </w:t>
      </w:r>
      <w:r w:rsidR="00380F4E" w:rsidRPr="00F40AFE">
        <w:rPr>
          <w:rFonts w:cs="FrankRuehl" w:hint="cs"/>
          <w:sz w:val="26"/>
          <w:szCs w:val="26"/>
          <w:rtl/>
        </w:rPr>
        <w:t xml:space="preserve">       </w:t>
      </w:r>
      <w:r w:rsidRPr="00F40AFE">
        <w:rPr>
          <w:rFonts w:cs="FrankRuehl" w:hint="cs"/>
          <w:sz w:val="26"/>
          <w:szCs w:val="26"/>
          <w:rtl/>
        </w:rPr>
        <w:t xml:space="preserve">   </w:t>
      </w:r>
      <w:r w:rsidR="00483CAB" w:rsidRPr="00F40AFE">
        <w:rPr>
          <w:rFonts w:cs="FrankRuehl" w:hint="cs"/>
          <w:sz w:val="26"/>
          <w:szCs w:val="26"/>
          <w:rtl/>
        </w:rPr>
        <w:t xml:space="preserve">    </w:t>
      </w:r>
      <w:r w:rsidRPr="00F40AFE">
        <w:rPr>
          <w:rFonts w:cs="FrankRuehl" w:hint="cs"/>
          <w:sz w:val="26"/>
          <w:szCs w:val="26"/>
          <w:rtl/>
        </w:rPr>
        <w:t>מרחשון תשע"</w:t>
      </w:r>
      <w:r w:rsidR="001760AF">
        <w:rPr>
          <w:rFonts w:cs="FrankRuehl" w:hint="cs"/>
          <w:sz w:val="26"/>
          <w:szCs w:val="26"/>
          <w:rtl/>
        </w:rPr>
        <w:t>ה</w:t>
      </w:r>
    </w:p>
    <w:p w:rsidR="001760AF" w:rsidRDefault="001760AF" w:rsidP="00012B60">
      <w:pPr>
        <w:spacing w:after="0" w:line="240" w:lineRule="auto"/>
        <w:rPr>
          <w:rFonts w:cs="FrankRuehl"/>
          <w:sz w:val="20"/>
          <w:szCs w:val="26"/>
          <w:rtl/>
        </w:rPr>
      </w:pPr>
    </w:p>
    <w:p w:rsidR="003F2164" w:rsidRDefault="003F2164" w:rsidP="00012B60">
      <w:pPr>
        <w:spacing w:after="0" w:line="240" w:lineRule="auto"/>
        <w:rPr>
          <w:rFonts w:cs="FrankRuehl"/>
          <w:sz w:val="20"/>
          <w:szCs w:val="26"/>
          <w:rtl/>
        </w:rPr>
      </w:pPr>
    </w:p>
    <w:p w:rsidR="003F2164" w:rsidRDefault="003F2164" w:rsidP="00012B60">
      <w:pPr>
        <w:pStyle w:val="BodyText"/>
        <w:rPr>
          <w:rtl/>
        </w:rPr>
      </w:pPr>
      <w:r>
        <w:rPr>
          <w:rFonts w:hint="cs"/>
          <w:rtl/>
        </w:rPr>
        <w:t xml:space="preserve">1.  למה אסור לישא גיורת נתינה </w:t>
      </w:r>
      <w:r>
        <w:rPr>
          <w:rtl/>
        </w:rPr>
        <w:t>–</w:t>
      </w:r>
      <w:r>
        <w:rPr>
          <w:rFonts w:hint="cs"/>
          <w:rtl/>
        </w:rPr>
        <w:t xml:space="preserve"> לפי ר"ת, הרמב"ם, והרמב"ן?  מה גזר דוד המלך לפי כל א' מג' שיטות אלו?</w:t>
      </w:r>
    </w:p>
    <w:p w:rsidR="003F2164" w:rsidRDefault="00B77C3D" w:rsidP="00012B60">
      <w:pPr>
        <w:pStyle w:val="BodyText"/>
        <w:rPr>
          <w:rtl/>
        </w:rPr>
      </w:pPr>
      <w:r>
        <w:rPr>
          <w:rFonts w:hint="cs"/>
          <w:rtl/>
        </w:rPr>
        <w:t>[תוס' (כט. ד"ה אלו), רמב"ם הל' איסורי ביאה (פי"ב ה"א-ב, הכ"ב-כ"ג), רמב"ן יבמות (עח:)]</w:t>
      </w:r>
    </w:p>
    <w:p w:rsidR="00B77C3D" w:rsidRDefault="00B77C3D" w:rsidP="00012B60">
      <w:pPr>
        <w:pStyle w:val="BodyText"/>
        <w:rPr>
          <w:rtl/>
        </w:rPr>
      </w:pPr>
    </w:p>
    <w:p w:rsidR="003F2164" w:rsidRDefault="003F2164" w:rsidP="00012B60">
      <w:pPr>
        <w:pStyle w:val="BodyText"/>
        <w:rPr>
          <w:rtl/>
        </w:rPr>
      </w:pPr>
      <w:r>
        <w:rPr>
          <w:rFonts w:hint="cs"/>
          <w:rtl/>
        </w:rPr>
        <w:t xml:space="preserve">2.  מתי נאמר האיסור דלא תתחתן בם </w:t>
      </w:r>
      <w:r>
        <w:rPr>
          <w:rtl/>
        </w:rPr>
        <w:t>–</w:t>
      </w:r>
      <w:r>
        <w:rPr>
          <w:rFonts w:hint="cs"/>
          <w:rtl/>
        </w:rPr>
        <w:t xml:space="preserve"> לפי הרמב"ם, ולפי ר"ת?  מהו גדר האיסור לפי כל א' מהן?</w:t>
      </w:r>
    </w:p>
    <w:p w:rsidR="003F2164" w:rsidRDefault="00B77C3D" w:rsidP="00012B60">
      <w:pPr>
        <w:pStyle w:val="BodyText"/>
        <w:rPr>
          <w:rtl/>
        </w:rPr>
      </w:pPr>
      <w:r>
        <w:rPr>
          <w:rFonts w:hint="cs"/>
          <w:rtl/>
        </w:rPr>
        <w:t>[תוס' ורמב"ם שם]</w:t>
      </w:r>
    </w:p>
    <w:p w:rsidR="00B77C3D" w:rsidRDefault="00B77C3D" w:rsidP="00012B60">
      <w:pPr>
        <w:pStyle w:val="BodyText"/>
        <w:rPr>
          <w:rtl/>
        </w:rPr>
      </w:pPr>
    </w:p>
    <w:p w:rsidR="003F2164" w:rsidRDefault="003F2164" w:rsidP="00012B60">
      <w:pPr>
        <w:pStyle w:val="BodyText"/>
        <w:rPr>
          <w:rtl/>
        </w:rPr>
      </w:pPr>
      <w:r>
        <w:rPr>
          <w:rFonts w:hint="cs"/>
          <w:rtl/>
        </w:rPr>
        <w:t>3.</w:t>
      </w:r>
      <w:r>
        <w:rPr>
          <w:rFonts w:hint="cs"/>
          <w:rtl/>
        </w:rPr>
        <w:tab/>
        <w:t>א)  "אלו נערות שיש להן קנס...הבא על הכותית".  מה קשה על זה למ"ד כותים גרי אמת הן?  מה תירצו התוס', התוס' ישנים, ורש"י לקושיא זו?</w:t>
      </w:r>
    </w:p>
    <w:p w:rsidR="003F2164" w:rsidRDefault="003F2164" w:rsidP="00012B60">
      <w:pPr>
        <w:pStyle w:val="BodyText"/>
        <w:ind w:firstLine="360"/>
        <w:rPr>
          <w:rtl/>
        </w:rPr>
      </w:pPr>
      <w:r>
        <w:rPr>
          <w:rFonts w:hint="cs"/>
          <w:rtl/>
        </w:rPr>
        <w:t>ב)  מה קשה על שיטת רש"י?  מה תירצו התוס' שאנץ והמאירי?</w:t>
      </w:r>
    </w:p>
    <w:p w:rsidR="003F2164" w:rsidRDefault="00B77C3D" w:rsidP="00012B60">
      <w:pPr>
        <w:pStyle w:val="BodyText"/>
        <w:rPr>
          <w:rtl/>
        </w:rPr>
      </w:pPr>
      <w:r>
        <w:rPr>
          <w:rFonts w:hint="cs"/>
          <w:rtl/>
        </w:rPr>
        <w:t>[תוס' (כט. ד"ה ועל), תוס' ישנים שם, מאירי שם, שטמ"ק ב"ק (לח:) בשם התוס' שאנץ]</w:t>
      </w:r>
    </w:p>
    <w:p w:rsidR="00B77C3D" w:rsidRDefault="00B77C3D" w:rsidP="00012B60">
      <w:pPr>
        <w:pStyle w:val="BodyText"/>
        <w:rPr>
          <w:rtl/>
        </w:rPr>
      </w:pPr>
    </w:p>
    <w:p w:rsidR="003F2164" w:rsidRDefault="003F2164" w:rsidP="00012B60">
      <w:pPr>
        <w:pStyle w:val="BodyText"/>
        <w:rPr>
          <w:rtl/>
        </w:rPr>
      </w:pPr>
      <w:r>
        <w:rPr>
          <w:rFonts w:hint="cs"/>
          <w:rtl/>
        </w:rPr>
        <w:t xml:space="preserve">4.  במה נחלקו התנאים אם כותים גרי אריות הן או גרי אמת הן </w:t>
      </w:r>
      <w:r>
        <w:rPr>
          <w:rtl/>
        </w:rPr>
        <w:t>–</w:t>
      </w:r>
      <w:r>
        <w:rPr>
          <w:rFonts w:hint="cs"/>
          <w:rtl/>
        </w:rPr>
        <w:t xml:space="preserve"> לפי רש"י ביבמות, ולפי התוס' ביבמות?  כיצד אפשר לפרש את הפסוק "ואת אלהיהם היו עובדים" לפי כל א' מהן?</w:t>
      </w:r>
    </w:p>
    <w:p w:rsidR="003F2164" w:rsidRDefault="00B77C3D" w:rsidP="00012B60">
      <w:pPr>
        <w:pStyle w:val="BodyText"/>
        <w:rPr>
          <w:rtl/>
        </w:rPr>
      </w:pPr>
      <w:r>
        <w:rPr>
          <w:rFonts w:hint="cs"/>
          <w:rtl/>
        </w:rPr>
        <w:t>[רש"י יבמות (כד: ד"ה גירי) ותוס' שם (ד"ה הלכה), ערוך לנר שם]</w:t>
      </w:r>
    </w:p>
    <w:p w:rsidR="00B77C3D" w:rsidRDefault="00B77C3D" w:rsidP="00012B60">
      <w:pPr>
        <w:pStyle w:val="BodyText"/>
        <w:rPr>
          <w:rtl/>
        </w:rPr>
      </w:pPr>
    </w:p>
    <w:p w:rsidR="003F2164" w:rsidRDefault="003F2164" w:rsidP="00012B60">
      <w:pPr>
        <w:pStyle w:val="BodyText"/>
        <w:rPr>
          <w:rtl/>
        </w:rPr>
      </w:pPr>
      <w:r>
        <w:rPr>
          <w:rFonts w:hint="cs"/>
          <w:rtl/>
        </w:rPr>
        <w:t>5.</w:t>
      </w:r>
      <w:r>
        <w:rPr>
          <w:rFonts w:hint="cs"/>
          <w:rtl/>
        </w:rPr>
        <w:tab/>
        <w:t>א)  מה הדין במפותה שאין לה אב בשעת ה</w:t>
      </w:r>
      <w:r w:rsidR="00FD5972">
        <w:rPr>
          <w:rFonts w:hint="cs"/>
          <w:rtl/>
        </w:rPr>
        <w:t>פיתוי</w:t>
      </w:r>
      <w:r>
        <w:rPr>
          <w:rFonts w:hint="cs"/>
          <w:rtl/>
        </w:rPr>
        <w:t xml:space="preserve"> </w:t>
      </w:r>
      <w:r>
        <w:rPr>
          <w:rtl/>
        </w:rPr>
        <w:t>–</w:t>
      </w:r>
      <w:r>
        <w:rPr>
          <w:rFonts w:hint="cs"/>
          <w:rtl/>
        </w:rPr>
        <w:t xml:space="preserve"> האם יש לה קנס לפי מסקנת הירושלמי?  למה?</w:t>
      </w:r>
    </w:p>
    <w:p w:rsidR="003F2164" w:rsidRDefault="003F2164" w:rsidP="00012B60">
      <w:pPr>
        <w:pStyle w:val="BodyText"/>
        <w:ind w:firstLine="360"/>
        <w:rPr>
          <w:rtl/>
        </w:rPr>
      </w:pPr>
      <w:r>
        <w:rPr>
          <w:rFonts w:hint="cs"/>
          <w:rtl/>
        </w:rPr>
        <w:t>ב)  תן ב' טעמים שהביא הרמב"ן לחלוק על הירושלמי.  למה הוצרך הרמב"ן להביא ב' הטעמים?</w:t>
      </w:r>
    </w:p>
    <w:p w:rsidR="003F2164" w:rsidRDefault="00B77C3D" w:rsidP="00012B60">
      <w:pPr>
        <w:pStyle w:val="BodyText"/>
        <w:rPr>
          <w:rtl/>
        </w:rPr>
      </w:pPr>
      <w:r>
        <w:rPr>
          <w:rFonts w:hint="cs"/>
          <w:rtl/>
        </w:rPr>
        <w:t>[ירושלמי (פ"ג ה"ז), רמב"ן (לו:), תוס' כתובות (פג. ד"ה כדרב כהנא)]</w:t>
      </w:r>
    </w:p>
    <w:p w:rsidR="00B77C3D" w:rsidRDefault="00B77C3D" w:rsidP="00012B60">
      <w:pPr>
        <w:pStyle w:val="BodyText"/>
        <w:rPr>
          <w:rtl/>
        </w:rPr>
      </w:pPr>
    </w:p>
    <w:p w:rsidR="003F2164" w:rsidRDefault="003F2164" w:rsidP="00012B60">
      <w:pPr>
        <w:pStyle w:val="BodyText"/>
        <w:rPr>
          <w:rtl/>
        </w:rPr>
      </w:pPr>
      <w:r>
        <w:rPr>
          <w:rFonts w:hint="cs"/>
          <w:rtl/>
        </w:rPr>
        <w:t>6.</w:t>
      </w:r>
      <w:r>
        <w:rPr>
          <w:rFonts w:hint="cs"/>
          <w:rtl/>
        </w:rPr>
        <w:tab/>
        <w:t>א)  מה הדין במפותה שיש לה אב ואחין בשעת הפיתוי ואח"כ מת אביה לפני העמדה בדין, האם יש לה בושת ופגם?  למה?</w:t>
      </w:r>
    </w:p>
    <w:p w:rsidR="003F2164" w:rsidRDefault="003F2164" w:rsidP="00012B60">
      <w:pPr>
        <w:pStyle w:val="BodyText"/>
        <w:ind w:firstLine="360"/>
      </w:pPr>
      <w:r>
        <w:rPr>
          <w:rFonts w:hint="cs"/>
          <w:rtl/>
        </w:rPr>
        <w:t xml:space="preserve">ב)  האם יש לה קנס </w:t>
      </w:r>
      <w:r>
        <w:rPr>
          <w:rtl/>
        </w:rPr>
        <w:t>–</w:t>
      </w:r>
      <w:r>
        <w:rPr>
          <w:rFonts w:hint="cs"/>
          <w:rtl/>
        </w:rPr>
        <w:t xml:space="preserve"> לפי הר"ן?  מה הטעם בזה </w:t>
      </w:r>
      <w:r>
        <w:rPr>
          <w:rtl/>
        </w:rPr>
        <w:t>–</w:t>
      </w:r>
      <w:r>
        <w:rPr>
          <w:rFonts w:hint="cs"/>
          <w:rtl/>
        </w:rPr>
        <w:t xml:space="preserve"> לפי הריטב"א?  מה היא שיטת הרמב"ן בזה?  מה ישיב הרמב"ן </w:t>
      </w:r>
      <w:r w:rsidR="00FD5972">
        <w:rPr>
          <w:rFonts w:hint="cs"/>
          <w:rtl/>
        </w:rPr>
        <w:t>ל</w:t>
      </w:r>
      <w:r>
        <w:rPr>
          <w:rFonts w:hint="cs"/>
          <w:rtl/>
        </w:rPr>
        <w:t>טענת הריטב"א (תן דרך א')?</w:t>
      </w:r>
    </w:p>
    <w:p w:rsidR="003F2164" w:rsidRDefault="00B77C3D" w:rsidP="00012B60">
      <w:pPr>
        <w:pStyle w:val="BodyText"/>
        <w:rPr>
          <w:rtl/>
        </w:rPr>
      </w:pPr>
      <w:r>
        <w:rPr>
          <w:rFonts w:hint="cs"/>
          <w:rtl/>
        </w:rPr>
        <w:t>[משנה (מא:), ר"ן ריטב"א ורמב"ן שם]</w:t>
      </w:r>
    </w:p>
    <w:p w:rsidR="00B77C3D" w:rsidRDefault="00B77C3D" w:rsidP="00012B60">
      <w:pPr>
        <w:pStyle w:val="BodyText"/>
        <w:rPr>
          <w:rtl/>
        </w:rPr>
      </w:pPr>
    </w:p>
    <w:p w:rsidR="003F2164" w:rsidRDefault="003F2164" w:rsidP="00012B60">
      <w:pPr>
        <w:pStyle w:val="BodyText"/>
        <w:rPr>
          <w:rtl/>
        </w:rPr>
      </w:pPr>
      <w:r>
        <w:rPr>
          <w:rFonts w:hint="cs"/>
          <w:rtl/>
        </w:rPr>
        <w:t xml:space="preserve">7.  מבואר במשנה (לו:) שהבא על בתו פטור מלשלם קנס מפני שחייב מיתה וקם ליה בדרבה מיניה.  וקשה לרב פפא דסבר דמיירי במפותה, תיפוק ליה שהוא פטור מפני שהבת מוחלת את הקנס לאביה?  מה תירצו על זה התוס' </w:t>
      </w:r>
      <w:r w:rsidR="00FD5972">
        <w:rPr>
          <w:rFonts w:hint="cs"/>
          <w:rtl/>
        </w:rPr>
        <w:t xml:space="preserve">(כט.) </w:t>
      </w:r>
      <w:r>
        <w:rPr>
          <w:rFonts w:hint="cs"/>
          <w:rtl/>
        </w:rPr>
        <w:t>בשם הירושלמי? (2)  ומה תירצו התוס' בסנהדרין?</w:t>
      </w:r>
    </w:p>
    <w:p w:rsidR="003F2164" w:rsidRDefault="00B77C3D" w:rsidP="00012B60">
      <w:pPr>
        <w:pStyle w:val="BodyText"/>
        <w:rPr>
          <w:rtl/>
        </w:rPr>
      </w:pPr>
      <w:r>
        <w:rPr>
          <w:rFonts w:hint="cs"/>
          <w:rtl/>
        </w:rPr>
        <w:t>[תוס' (כט. ד"ה ועל אשת אחיו), תוס' סנהדרין (עג: ד"ה במפותה)]</w:t>
      </w:r>
    </w:p>
    <w:p w:rsidR="00B77C3D" w:rsidRDefault="00B77C3D" w:rsidP="00012B60">
      <w:pPr>
        <w:pStyle w:val="BodyText"/>
        <w:rPr>
          <w:rtl/>
        </w:rPr>
      </w:pPr>
    </w:p>
    <w:p w:rsidR="003F2164" w:rsidRDefault="003F2164" w:rsidP="00012B60">
      <w:pPr>
        <w:pStyle w:val="BodyText"/>
        <w:rPr>
          <w:rtl/>
        </w:rPr>
      </w:pPr>
      <w:r>
        <w:rPr>
          <w:rFonts w:hint="cs"/>
          <w:rtl/>
        </w:rPr>
        <w:t xml:space="preserve">8.  האם עיקר חיוב קנס בנערה שיש לה אב הוא לאביה או להבת </w:t>
      </w:r>
      <w:r>
        <w:rPr>
          <w:rtl/>
        </w:rPr>
        <w:t>–</w:t>
      </w:r>
      <w:r>
        <w:rPr>
          <w:rFonts w:hint="cs"/>
          <w:rtl/>
        </w:rPr>
        <w:t xml:space="preserve"> לדעת הרמב"ם, ולדעת הראב"ד?  הבא ראיה לכך מדבריהם בב' מקומות.</w:t>
      </w:r>
    </w:p>
    <w:p w:rsidR="003F2164" w:rsidRDefault="00B77C3D" w:rsidP="00012B60">
      <w:pPr>
        <w:pStyle w:val="BodyText"/>
        <w:rPr>
          <w:rtl/>
        </w:rPr>
      </w:pPr>
      <w:r>
        <w:rPr>
          <w:rFonts w:hint="cs"/>
          <w:rtl/>
        </w:rPr>
        <w:t>[רמב"ם וראב"ד הל' נערה בתולה (פ"ב הי"ג, הי"ז)]</w:t>
      </w:r>
    </w:p>
    <w:p w:rsidR="00B77C3D" w:rsidRDefault="00B77C3D" w:rsidP="00012B60">
      <w:pPr>
        <w:pStyle w:val="BodyText"/>
        <w:rPr>
          <w:rtl/>
        </w:rPr>
      </w:pPr>
    </w:p>
    <w:p w:rsidR="003F2164" w:rsidRDefault="003F2164" w:rsidP="00012B60">
      <w:pPr>
        <w:pStyle w:val="BodyText"/>
        <w:rPr>
          <w:rtl/>
        </w:rPr>
      </w:pPr>
      <w:r>
        <w:rPr>
          <w:rFonts w:hint="cs"/>
          <w:rtl/>
        </w:rPr>
        <w:t xml:space="preserve">9.  האם יש קנס לקטנה חרשת ושוטה </w:t>
      </w:r>
      <w:r>
        <w:rPr>
          <w:rtl/>
        </w:rPr>
        <w:t>–</w:t>
      </w:r>
      <w:r>
        <w:rPr>
          <w:rFonts w:hint="cs"/>
          <w:rtl/>
        </w:rPr>
        <w:t xml:space="preserve"> לדעת הרמב"ם?  מה קשה בשיטת הרמב"ם?  כיצד ביאר ההפלאה את דעת הרמב"ם?</w:t>
      </w:r>
    </w:p>
    <w:p w:rsidR="003F2164" w:rsidRDefault="00B77C3D" w:rsidP="00012B60">
      <w:pPr>
        <w:pStyle w:val="BodyText"/>
        <w:rPr>
          <w:rtl/>
        </w:rPr>
      </w:pPr>
      <w:r>
        <w:rPr>
          <w:rFonts w:hint="cs"/>
          <w:rtl/>
        </w:rPr>
        <w:t>[רמב"ם הל' נערה בתולה (פ"א ה"ח-ט) וראב"ד שם, חידושי הפלאה (מ:)]</w:t>
      </w:r>
    </w:p>
    <w:p w:rsidR="00B77C3D" w:rsidRDefault="00B77C3D" w:rsidP="00012B60">
      <w:pPr>
        <w:pStyle w:val="BodyText"/>
        <w:rPr>
          <w:rtl/>
        </w:rPr>
      </w:pPr>
    </w:p>
    <w:p w:rsidR="003F2164" w:rsidRDefault="003F2164" w:rsidP="00012B60">
      <w:pPr>
        <w:pStyle w:val="BodyText"/>
        <w:rPr>
          <w:rtl/>
        </w:rPr>
      </w:pPr>
      <w:r>
        <w:rPr>
          <w:rFonts w:hint="cs"/>
          <w:rtl/>
        </w:rPr>
        <w:t>10.</w:t>
      </w:r>
      <w:r>
        <w:rPr>
          <w:rFonts w:hint="cs"/>
          <w:rtl/>
        </w:rPr>
        <w:tab/>
        <w:t>א)  לדעת הרמב"ם, האם יש מצוה ד"ולו תהיה לאשה" אם אנס "שניה לעריות"?  למה?</w:t>
      </w:r>
    </w:p>
    <w:p w:rsidR="003F2164" w:rsidRDefault="003F2164" w:rsidP="00012B60">
      <w:pPr>
        <w:pStyle w:val="BodyText"/>
        <w:ind w:firstLine="360"/>
        <w:rPr>
          <w:rtl/>
        </w:rPr>
      </w:pPr>
      <w:r>
        <w:rPr>
          <w:rFonts w:hint="cs"/>
          <w:rtl/>
        </w:rPr>
        <w:t>ב)  מה קשה על זה מדברי הגמ'?  כיצד יישב היונת אלם את שיטת הרמב"ם?</w:t>
      </w:r>
    </w:p>
    <w:p w:rsidR="003F2164" w:rsidRDefault="00B42343" w:rsidP="00012B60">
      <w:pPr>
        <w:pStyle w:val="BodyText"/>
        <w:rPr>
          <w:rFonts w:hint="cs"/>
          <w:rtl/>
        </w:rPr>
      </w:pPr>
      <w:r>
        <w:rPr>
          <w:rFonts w:hint="cs"/>
          <w:rtl/>
        </w:rPr>
        <w:t>[רמב"ם הל' נערה בתולה (פ"א ה"ה) וכסף משנה שם, גמ' (לה:-לו.), יונת אלם (סי' א)]</w:t>
      </w:r>
    </w:p>
    <w:p w:rsidR="00B77C3D" w:rsidRDefault="00B77C3D" w:rsidP="00012B60">
      <w:pPr>
        <w:pStyle w:val="BodyText"/>
        <w:rPr>
          <w:rtl/>
        </w:rPr>
      </w:pPr>
    </w:p>
    <w:p w:rsidR="003F2164" w:rsidRDefault="003F2164" w:rsidP="00012B60">
      <w:pPr>
        <w:pStyle w:val="BodyText"/>
        <w:rPr>
          <w:rtl/>
        </w:rPr>
      </w:pPr>
      <w:r>
        <w:rPr>
          <w:rFonts w:hint="cs"/>
          <w:rtl/>
        </w:rPr>
        <w:t>11.</w:t>
      </w:r>
      <w:r>
        <w:rPr>
          <w:rFonts w:hint="cs"/>
          <w:rtl/>
        </w:rPr>
        <w:tab/>
        <w:t>א)  כתבו התוס' דמדברי הגמ' מבואר שאם בא על אשה שאין קידושין תופסין בה הולד ממזר.  תן ב' דרכים לבאר דין זה דממזרות תלויה בהא דאין קידושין תופסין באשה הנבעלת.  ומאי נפקא מינה בין הדרכים.</w:t>
      </w:r>
    </w:p>
    <w:p w:rsidR="003F2164" w:rsidRDefault="003F2164" w:rsidP="00012B60">
      <w:pPr>
        <w:pStyle w:val="BodyText"/>
        <w:ind w:firstLine="360"/>
        <w:rPr>
          <w:rtl/>
        </w:rPr>
      </w:pPr>
      <w:r>
        <w:rPr>
          <w:rFonts w:hint="cs"/>
          <w:rtl/>
        </w:rPr>
        <w:lastRenderedPageBreak/>
        <w:t>ב)  לדברי איזה תנא אין ממזרות תלויה בתפיסת קידושין?  באר.</w:t>
      </w:r>
    </w:p>
    <w:p w:rsidR="003F2164" w:rsidRDefault="00B42343" w:rsidP="00012B60">
      <w:pPr>
        <w:pStyle w:val="BodyText"/>
        <w:rPr>
          <w:rFonts w:hint="cs"/>
          <w:rtl/>
        </w:rPr>
      </w:pPr>
      <w:r>
        <w:rPr>
          <w:rFonts w:hint="cs"/>
          <w:rtl/>
        </w:rPr>
        <w:t>[רשב"א יבמות (מה:), קובץ הערות (סי' לה אות א), תוס' כתובות (כט: ד"ה חילולין)]</w:t>
      </w:r>
    </w:p>
    <w:p w:rsidR="00B42343" w:rsidRDefault="00B42343" w:rsidP="00012B60">
      <w:pPr>
        <w:pStyle w:val="BodyText"/>
        <w:rPr>
          <w:rtl/>
        </w:rPr>
      </w:pPr>
    </w:p>
    <w:p w:rsidR="003F2164" w:rsidRDefault="003F2164" w:rsidP="00012B60">
      <w:pPr>
        <w:pStyle w:val="BodyText"/>
        <w:rPr>
          <w:rtl/>
        </w:rPr>
      </w:pPr>
      <w:r>
        <w:rPr>
          <w:rFonts w:hint="cs"/>
          <w:rtl/>
        </w:rPr>
        <w:t>12.</w:t>
      </w:r>
      <w:r>
        <w:rPr>
          <w:rFonts w:hint="cs"/>
          <w:rtl/>
        </w:rPr>
        <w:tab/>
        <w:t>א)  "איכא בינייהו בעולה לכהן גדול."  וקשה אם היא בעולה, הרי אין לה קנס?  מה תירץ על זה רש"י?  מה הקשו עליו הראשונים?  כיצד פירש ר"ח?  למה בעולה לכ"ג אינה ראויה לקיימה לפי הר"ח?  באר.</w:t>
      </w:r>
    </w:p>
    <w:p w:rsidR="003F2164" w:rsidRDefault="003F2164" w:rsidP="00012B60">
      <w:pPr>
        <w:pStyle w:val="BodyText"/>
        <w:ind w:firstLine="360"/>
        <w:rPr>
          <w:rtl/>
        </w:rPr>
      </w:pPr>
      <w:r>
        <w:rPr>
          <w:rFonts w:hint="cs"/>
          <w:rtl/>
        </w:rPr>
        <w:t xml:space="preserve">ב)  במה נחלקו רש"י ור"ח </w:t>
      </w:r>
      <w:r>
        <w:rPr>
          <w:rtl/>
        </w:rPr>
        <w:t>–</w:t>
      </w:r>
      <w:r>
        <w:rPr>
          <w:rFonts w:hint="cs"/>
          <w:rtl/>
        </w:rPr>
        <w:t xml:space="preserve"> לפי הקובץ שיעורים?</w:t>
      </w:r>
    </w:p>
    <w:p w:rsidR="003F2164" w:rsidRDefault="00B42343" w:rsidP="00012B60">
      <w:pPr>
        <w:pStyle w:val="BodyText"/>
        <w:rPr>
          <w:rFonts w:hint="cs"/>
          <w:rtl/>
        </w:rPr>
      </w:pPr>
      <w:r>
        <w:rPr>
          <w:rFonts w:hint="cs"/>
          <w:rtl/>
        </w:rPr>
        <w:t>[רש"י (ל. ד"ה בעולה), תוס' שם (ד"ה איכא), ריטב"א שם (ד"ה בעולה)</w:t>
      </w:r>
      <w:r w:rsidR="003D366D">
        <w:rPr>
          <w:rFonts w:hint="cs"/>
          <w:rtl/>
        </w:rPr>
        <w:t>, קובץ שיעורים (אות נ"ד)]</w:t>
      </w:r>
    </w:p>
    <w:p w:rsidR="003D366D" w:rsidRDefault="003D366D" w:rsidP="00012B60">
      <w:pPr>
        <w:pStyle w:val="BodyText"/>
        <w:rPr>
          <w:rtl/>
        </w:rPr>
      </w:pPr>
    </w:p>
    <w:p w:rsidR="003F2164" w:rsidRDefault="003F2164" w:rsidP="00012B60">
      <w:pPr>
        <w:pStyle w:val="BodyText"/>
        <w:rPr>
          <w:rtl/>
        </w:rPr>
      </w:pPr>
      <w:r>
        <w:rPr>
          <w:rFonts w:hint="cs"/>
          <w:rtl/>
        </w:rPr>
        <w:t xml:space="preserve">13.  מתי העראה דינה כגמר ביאה </w:t>
      </w:r>
      <w:r>
        <w:rPr>
          <w:rtl/>
        </w:rPr>
        <w:t>–</w:t>
      </w:r>
      <w:r>
        <w:rPr>
          <w:rFonts w:hint="cs"/>
          <w:rtl/>
        </w:rPr>
        <w:t xml:space="preserve"> לפי הרשב"א?  תן ראיה לדבריו מדברי הגמ' בקידושין (עז:).  איזה קושיא בא הרשב"א ליישב?  כיצד ביאר הקובץ שיעורים את שיטתו?</w:t>
      </w:r>
    </w:p>
    <w:p w:rsidR="003F2164" w:rsidRDefault="00DB185D" w:rsidP="00012B60">
      <w:pPr>
        <w:pStyle w:val="BodyText"/>
        <w:rPr>
          <w:rFonts w:hint="cs"/>
          <w:rtl/>
        </w:rPr>
      </w:pPr>
      <w:r>
        <w:rPr>
          <w:rFonts w:hint="cs"/>
          <w:rtl/>
        </w:rPr>
        <w:t>[רשב"א (ל. ד"ה איכא), גמ' קידושין (עז:), קובץ שיעורים (ח"ב סי' י אות ו)]</w:t>
      </w:r>
    </w:p>
    <w:p w:rsidR="00DB185D" w:rsidRPr="003F2164" w:rsidRDefault="00DB185D" w:rsidP="00012B60">
      <w:pPr>
        <w:pStyle w:val="BodyText"/>
        <w:rPr>
          <w:rtl/>
        </w:rPr>
      </w:pPr>
    </w:p>
    <w:p w:rsidR="003F2164" w:rsidRPr="003F2164" w:rsidRDefault="003F2164" w:rsidP="00012B60">
      <w:pPr>
        <w:spacing w:after="0" w:line="240" w:lineRule="auto"/>
        <w:rPr>
          <w:rFonts w:cs="FrankRuehl"/>
          <w:sz w:val="26"/>
          <w:szCs w:val="26"/>
        </w:rPr>
      </w:pPr>
      <w:r>
        <w:rPr>
          <w:rFonts w:cs="FrankRuehl" w:hint="cs"/>
          <w:sz w:val="26"/>
          <w:szCs w:val="26"/>
          <w:rtl/>
        </w:rPr>
        <w:t xml:space="preserve">14.  </w:t>
      </w:r>
      <w:r w:rsidRPr="003F2164">
        <w:rPr>
          <w:rFonts w:cs="FrankRuehl" w:hint="cs"/>
          <w:sz w:val="26"/>
          <w:szCs w:val="26"/>
          <w:rtl/>
        </w:rPr>
        <w:t xml:space="preserve">"ולאפוקי מדרבי נחוניא בן הקנה."  מי חולק על ר"נ בן הקנה </w:t>
      </w:r>
      <w:r w:rsidRPr="003F2164">
        <w:rPr>
          <w:rFonts w:cs="FrankRuehl"/>
          <w:sz w:val="26"/>
          <w:szCs w:val="26"/>
          <w:rtl/>
        </w:rPr>
        <w:t>–</w:t>
      </w:r>
      <w:r w:rsidRPr="003F2164">
        <w:rPr>
          <w:rFonts w:cs="FrankRuehl" w:hint="cs"/>
          <w:sz w:val="26"/>
          <w:szCs w:val="26"/>
          <w:rtl/>
        </w:rPr>
        <w:t xml:space="preserve"> לפי רש"י, ולפי תוס'?  מה הקשו התוס' על רש"י?  ומה תירצו על זה?  למה רש"י לא רצה לפרש כמו התוס' </w:t>
      </w:r>
      <w:r w:rsidRPr="003F2164">
        <w:rPr>
          <w:rFonts w:cs="FrankRuehl"/>
          <w:sz w:val="26"/>
          <w:szCs w:val="26"/>
          <w:rtl/>
        </w:rPr>
        <w:t>–</w:t>
      </w:r>
      <w:r w:rsidRPr="003F2164">
        <w:rPr>
          <w:rFonts w:cs="FrankRuehl" w:hint="cs"/>
          <w:sz w:val="26"/>
          <w:szCs w:val="26"/>
          <w:rtl/>
        </w:rPr>
        <w:t xml:space="preserve"> לפי הפני יהושע?</w:t>
      </w:r>
    </w:p>
    <w:p w:rsidR="003F2164" w:rsidRDefault="00DB185D" w:rsidP="00012B60">
      <w:pPr>
        <w:spacing w:after="0" w:line="240" w:lineRule="auto"/>
        <w:rPr>
          <w:rFonts w:cs="FrankRuehl" w:hint="cs"/>
          <w:sz w:val="26"/>
          <w:szCs w:val="26"/>
          <w:rtl/>
        </w:rPr>
      </w:pPr>
      <w:r>
        <w:rPr>
          <w:rFonts w:cs="FrankRuehl" w:hint="cs"/>
          <w:sz w:val="26"/>
          <w:szCs w:val="26"/>
          <w:rtl/>
        </w:rPr>
        <w:t>[רש"י (ל. ד"ה ולאפוקי), תוס' שם (ד"ה הכל), פנ"י שם]</w:t>
      </w:r>
    </w:p>
    <w:p w:rsidR="00DB185D" w:rsidRPr="003F2164" w:rsidRDefault="00DB185D" w:rsidP="00012B60">
      <w:pPr>
        <w:spacing w:after="0" w:line="240" w:lineRule="auto"/>
        <w:rPr>
          <w:rFonts w:cs="FrankRuehl"/>
          <w:sz w:val="26"/>
          <w:szCs w:val="26"/>
        </w:rPr>
      </w:pPr>
    </w:p>
    <w:p w:rsidR="003F2164" w:rsidRDefault="003F2164" w:rsidP="00012B60">
      <w:pPr>
        <w:pStyle w:val="BodyText"/>
        <w:rPr>
          <w:rtl/>
        </w:rPr>
      </w:pPr>
      <w:r>
        <w:rPr>
          <w:rFonts w:hint="cs"/>
          <w:rtl/>
        </w:rPr>
        <w:t xml:space="preserve">15.  מבואר בגמ' דר' נחוניא בן הקנה סובר דאף אם נתחייב כרת וממון במעשה עבירה א' פטור מן התשלומין משום דקם ליה בדרבה מיניה.  מה הדין אם </w:t>
      </w:r>
      <w:r w:rsidRPr="00F43832">
        <w:rPr>
          <w:rFonts w:hint="cs"/>
          <w:u w:val="single"/>
          <w:rtl/>
        </w:rPr>
        <w:t>שגג</w:t>
      </w:r>
      <w:r>
        <w:rPr>
          <w:rFonts w:hint="cs"/>
          <w:rtl/>
        </w:rPr>
        <w:t xml:space="preserve"> בכרת, הא</w:t>
      </w:r>
      <w:r w:rsidR="00B1269E">
        <w:rPr>
          <w:rFonts w:hint="cs"/>
          <w:rtl/>
        </w:rPr>
        <w:t xml:space="preserve">ם עדיין פטור מן הממון לרנבה"ק?  </w:t>
      </w:r>
      <w:r>
        <w:rPr>
          <w:rFonts w:hint="cs"/>
          <w:rtl/>
        </w:rPr>
        <w:t>למה?  האם יש חילוק בזה בין אביי לרבא?</w:t>
      </w:r>
    </w:p>
    <w:p w:rsidR="003F2164" w:rsidRDefault="00B1269E" w:rsidP="00012B60">
      <w:pPr>
        <w:pStyle w:val="BodyText"/>
        <w:rPr>
          <w:rFonts w:hint="cs"/>
          <w:rtl/>
        </w:rPr>
      </w:pPr>
      <w:r>
        <w:rPr>
          <w:rFonts w:hint="cs"/>
          <w:rtl/>
        </w:rPr>
        <w:t>[רש"י פסחים (כט. ד"ה את יוה"כ), תוס' שם (ד"ה רבי), תוס' הרשב"א שם, רמב"ן כתובות מלחמות ה' (יג: ברי"ף), רא"ה (לה:), פנ"י כתובות (ל:)]</w:t>
      </w:r>
    </w:p>
    <w:p w:rsidR="00B1269E" w:rsidRDefault="00B1269E" w:rsidP="00012B60">
      <w:pPr>
        <w:pStyle w:val="BodyText"/>
        <w:rPr>
          <w:rtl/>
        </w:rPr>
      </w:pPr>
    </w:p>
    <w:p w:rsidR="003F2164" w:rsidRDefault="003F2164" w:rsidP="00012B60">
      <w:pPr>
        <w:pStyle w:val="BodyText"/>
        <w:rPr>
          <w:rtl/>
        </w:rPr>
      </w:pPr>
      <w:r>
        <w:rPr>
          <w:rFonts w:hint="cs"/>
          <w:rtl/>
        </w:rPr>
        <w:t xml:space="preserve">16.  </w:t>
      </w:r>
      <w:r w:rsidR="00B1269E">
        <w:rPr>
          <w:rFonts w:hint="cs"/>
          <w:rtl/>
        </w:rPr>
        <w:t xml:space="preserve">כיצד חילק ההפלאה </w:t>
      </w:r>
      <w:r>
        <w:rPr>
          <w:rFonts w:hint="cs"/>
          <w:rtl/>
        </w:rPr>
        <w:t xml:space="preserve">בין חייבי מיתות ב"ד לחייבי כריתות לר' נחוניא בן הקנה?  </w:t>
      </w:r>
      <w:r w:rsidR="00B1269E">
        <w:rPr>
          <w:rFonts w:hint="cs"/>
          <w:rtl/>
        </w:rPr>
        <w:t>מה הקשה עליו הבית יעקב?  וכיצד אפשר ליישב קושיתו?</w:t>
      </w:r>
    </w:p>
    <w:p w:rsidR="003F2164" w:rsidRDefault="00B1269E" w:rsidP="00012B60">
      <w:pPr>
        <w:pStyle w:val="BodyText"/>
        <w:rPr>
          <w:rFonts w:hint="cs"/>
          <w:rtl/>
        </w:rPr>
      </w:pPr>
      <w:r>
        <w:rPr>
          <w:rFonts w:hint="cs"/>
          <w:rtl/>
        </w:rPr>
        <w:t>[גמ' (לז.), הפלאה (ל: ד"ה בגמרא מאי איכא), בית יעקב שם]</w:t>
      </w:r>
    </w:p>
    <w:p w:rsidR="00B1269E" w:rsidRDefault="00B1269E" w:rsidP="00012B60">
      <w:pPr>
        <w:pStyle w:val="BodyText"/>
        <w:rPr>
          <w:rtl/>
        </w:rPr>
      </w:pPr>
    </w:p>
    <w:p w:rsidR="003F2164" w:rsidRDefault="003F2164" w:rsidP="00012B60">
      <w:pPr>
        <w:pStyle w:val="BodyText"/>
        <w:rPr>
          <w:rtl/>
        </w:rPr>
      </w:pPr>
      <w:r>
        <w:rPr>
          <w:rFonts w:hint="cs"/>
          <w:rtl/>
        </w:rPr>
        <w:t xml:space="preserve">17.  מבואר במשנה בפסחים שאם אכל תרומת חמץ בפסח בשוגג חייב לשלם קרן וחומש, ואע"פ שחייב כרת על החמץ.  וקשה הא מבואר שם בברייתא שאם אכל חמץ של הקדש בפסח בשוגג פטור מלשלם לר' נחוניא בן הקנה מפני שחייב כרת על החמץ, וכרת פוטר מן התשלומין?  מה החילוק בין הקדש לתרומה </w:t>
      </w:r>
      <w:r>
        <w:rPr>
          <w:rtl/>
        </w:rPr>
        <w:t>–</w:t>
      </w:r>
      <w:r>
        <w:rPr>
          <w:rFonts w:hint="cs"/>
          <w:rtl/>
        </w:rPr>
        <w:t xml:space="preserve"> לפי רש"י בפסחים, לפי השטמ"ק בכתובות, ולפי התוס' בכתובות?</w:t>
      </w:r>
    </w:p>
    <w:p w:rsidR="003F2164" w:rsidRDefault="00B1269E" w:rsidP="00012B60">
      <w:pPr>
        <w:pStyle w:val="BodyText"/>
        <w:rPr>
          <w:rFonts w:hint="cs"/>
          <w:rtl/>
        </w:rPr>
      </w:pPr>
      <w:r>
        <w:rPr>
          <w:rFonts w:hint="cs"/>
          <w:rtl/>
        </w:rPr>
        <w:t>[רש"י פסחים (כט. ד"ה את יוה"כ), תוס' כתובות (ל: ד"ה זר), שטמ"ק שם]</w:t>
      </w:r>
    </w:p>
    <w:p w:rsidR="00B1269E" w:rsidRDefault="00B1269E" w:rsidP="00012B60">
      <w:pPr>
        <w:pStyle w:val="BodyText"/>
        <w:rPr>
          <w:rtl/>
        </w:rPr>
      </w:pPr>
    </w:p>
    <w:p w:rsidR="003F2164" w:rsidRDefault="003F2164" w:rsidP="00012B60">
      <w:pPr>
        <w:pStyle w:val="BodyText"/>
        <w:rPr>
          <w:rtl/>
        </w:rPr>
      </w:pPr>
      <w:r>
        <w:rPr>
          <w:rFonts w:hint="cs"/>
          <w:rtl/>
        </w:rPr>
        <w:t>18.</w:t>
      </w:r>
      <w:r>
        <w:rPr>
          <w:rFonts w:hint="cs"/>
          <w:rtl/>
        </w:rPr>
        <w:tab/>
        <w:t>א)  תן ג' דרכים בביאור גדר הפטור דקם ליה בדרבה מיניה.  האם זה תלוי במקור הדין?  באר.</w:t>
      </w:r>
    </w:p>
    <w:p w:rsidR="003F2164" w:rsidRDefault="003F2164" w:rsidP="00012B60">
      <w:pPr>
        <w:pStyle w:val="BodyText"/>
        <w:ind w:firstLine="360"/>
        <w:rPr>
          <w:rtl/>
        </w:rPr>
      </w:pPr>
      <w:r>
        <w:rPr>
          <w:rFonts w:hint="cs"/>
          <w:rtl/>
        </w:rPr>
        <w:t>ב)  תן ב' נפקא מינה בין הדרכים.</w:t>
      </w:r>
    </w:p>
    <w:p w:rsidR="00B1269E" w:rsidRDefault="00B1269E" w:rsidP="00012B60">
      <w:pPr>
        <w:pStyle w:val="BodyText"/>
        <w:rPr>
          <w:rtl/>
        </w:rPr>
      </w:pPr>
      <w:r>
        <w:rPr>
          <w:rFonts w:hint="cs"/>
          <w:rtl/>
        </w:rPr>
        <w:t xml:space="preserve">[רש"י ב"מ (צא.), רמב"ן מכות (ב.), שטמ"ק </w:t>
      </w:r>
      <w:r>
        <w:rPr>
          <w:rFonts w:hint="cs"/>
          <w:rtl/>
        </w:rPr>
        <w:t xml:space="preserve">כתובות </w:t>
      </w:r>
      <w:r>
        <w:rPr>
          <w:rFonts w:hint="cs"/>
          <w:rtl/>
        </w:rPr>
        <w:t>(לז.</w:t>
      </w:r>
      <w:r>
        <w:rPr>
          <w:rFonts w:hint="cs"/>
          <w:rtl/>
        </w:rPr>
        <w:t>), תוס' (ל: ד"ה זר), תוס' ב"ק (ד. ד"ה כראי)</w:t>
      </w:r>
      <w:r>
        <w:rPr>
          <w:rFonts w:hint="cs"/>
          <w:rtl/>
        </w:rPr>
        <w:t>]</w:t>
      </w:r>
    </w:p>
    <w:p w:rsidR="003F2164" w:rsidRDefault="003F2164" w:rsidP="00012B60">
      <w:pPr>
        <w:pStyle w:val="BodyText"/>
        <w:rPr>
          <w:rFonts w:hint="cs"/>
          <w:rtl/>
        </w:rPr>
      </w:pPr>
    </w:p>
    <w:p w:rsidR="003F2164" w:rsidRDefault="003F2164" w:rsidP="00012B60">
      <w:pPr>
        <w:pStyle w:val="BodyText"/>
        <w:rPr>
          <w:rtl/>
        </w:rPr>
      </w:pPr>
      <w:r>
        <w:rPr>
          <w:rFonts w:hint="cs"/>
          <w:rtl/>
        </w:rPr>
        <w:t>19.  "רבא אמר אתנן אסרה תורה אפילו בא על אמו."  מה הקשו הראשונים על זה?  מה תירצו רש"י והשטמ"ק בב"מ?</w:t>
      </w:r>
    </w:p>
    <w:p w:rsidR="003F2164" w:rsidRDefault="00B1269E" w:rsidP="00012B60">
      <w:pPr>
        <w:pStyle w:val="BodyText"/>
        <w:rPr>
          <w:rFonts w:hint="cs"/>
          <w:rtl/>
        </w:rPr>
      </w:pPr>
      <w:r>
        <w:rPr>
          <w:rFonts w:hint="cs"/>
          <w:rtl/>
        </w:rPr>
        <w:t>[רש"י ב"מ (צא.), שטמ"ק שם]</w:t>
      </w:r>
    </w:p>
    <w:p w:rsidR="00B1269E" w:rsidRDefault="00B1269E" w:rsidP="00012B60">
      <w:pPr>
        <w:pStyle w:val="BodyText"/>
        <w:rPr>
          <w:rtl/>
        </w:rPr>
      </w:pPr>
    </w:p>
    <w:p w:rsidR="003F2164" w:rsidRDefault="003F2164" w:rsidP="00012B60">
      <w:pPr>
        <w:pStyle w:val="BodyText"/>
        <w:rPr>
          <w:rtl/>
        </w:rPr>
      </w:pPr>
      <w:r>
        <w:rPr>
          <w:rFonts w:hint="cs"/>
          <w:rtl/>
        </w:rPr>
        <w:t>20.</w:t>
      </w:r>
      <w:r>
        <w:rPr>
          <w:rFonts w:hint="cs"/>
          <w:rtl/>
        </w:rPr>
        <w:tab/>
        <w:t>א)  תוס' סוברים שתשלומי תרומה הם תשלומי כפרה.  איזה ראיה הביאו לשיטה זו?  כיצד אפשר לדחות הראיה?</w:t>
      </w:r>
    </w:p>
    <w:p w:rsidR="003F2164" w:rsidRDefault="003F2164" w:rsidP="00012B60">
      <w:pPr>
        <w:pStyle w:val="BodyText"/>
        <w:ind w:firstLine="360"/>
        <w:rPr>
          <w:rtl/>
        </w:rPr>
      </w:pPr>
      <w:r>
        <w:rPr>
          <w:rFonts w:hint="cs"/>
          <w:rtl/>
        </w:rPr>
        <w:t>ב)  תוס' סוברים שתשלומי מעילה הם תשלומי ממון שגזל הקדש.  מי חולק על התוס' בזה?  באר.</w:t>
      </w:r>
    </w:p>
    <w:p w:rsidR="003F2164" w:rsidRDefault="00B1269E" w:rsidP="00012B60">
      <w:pPr>
        <w:pStyle w:val="BodyText"/>
        <w:rPr>
          <w:rFonts w:hint="cs"/>
          <w:rtl/>
        </w:rPr>
      </w:pPr>
      <w:r>
        <w:rPr>
          <w:rFonts w:hint="cs"/>
          <w:rtl/>
        </w:rPr>
        <w:t>[ר"ש תרומות (פ"ו מ"א), רמב"ן ב"ב (עט.) וקצוה"ח (סי' ר ס"ק א)]</w:t>
      </w:r>
    </w:p>
    <w:p w:rsidR="00B1269E" w:rsidRDefault="00B1269E" w:rsidP="00012B60">
      <w:pPr>
        <w:pStyle w:val="BodyText"/>
        <w:rPr>
          <w:rtl/>
        </w:rPr>
      </w:pPr>
    </w:p>
    <w:p w:rsidR="003F2164" w:rsidRDefault="003F2164" w:rsidP="00012B60">
      <w:pPr>
        <w:pStyle w:val="BodyText"/>
        <w:rPr>
          <w:rtl/>
        </w:rPr>
      </w:pPr>
      <w:r>
        <w:rPr>
          <w:rFonts w:hint="cs"/>
          <w:rtl/>
        </w:rPr>
        <w:t xml:space="preserve">21.  מבואר בגמ' (ל:) דאביי סובר (לפי רנבה"ק) דאם חבירו תחב לו תרומה בבית הבליעה פטור מלשלם משום דקם ליה בדרבה מיניה.  והקשו בגמ' "אי מצי לאהדורה ניהדר."  במה נחלקו רש"י ותוס' בביאור דברי הגמ' </w:t>
      </w:r>
      <w:r>
        <w:rPr>
          <w:rtl/>
        </w:rPr>
        <w:t>–</w:t>
      </w:r>
      <w:r>
        <w:rPr>
          <w:rFonts w:hint="cs"/>
          <w:rtl/>
        </w:rPr>
        <w:t xml:space="preserve"> לפי השטמ"ק?  למה לא רצו התוס' לפרש כמו רש"י </w:t>
      </w:r>
      <w:r>
        <w:rPr>
          <w:rtl/>
        </w:rPr>
        <w:t>–</w:t>
      </w:r>
      <w:r>
        <w:rPr>
          <w:rFonts w:hint="cs"/>
          <w:rtl/>
        </w:rPr>
        <w:t xml:space="preserve"> לפי הברכת שמואל?</w:t>
      </w:r>
    </w:p>
    <w:p w:rsidR="003F2164" w:rsidRDefault="00E65FC0" w:rsidP="00012B60">
      <w:pPr>
        <w:pStyle w:val="BodyText"/>
        <w:rPr>
          <w:rFonts w:hint="cs"/>
          <w:rtl/>
        </w:rPr>
      </w:pPr>
      <w:r>
        <w:rPr>
          <w:rFonts w:hint="cs"/>
          <w:rtl/>
        </w:rPr>
        <w:lastRenderedPageBreak/>
        <w:t>[רש"י (ל: ד"ה איבעי), תוס' שם (ד"ה אי), שטמ"ק שם, רש"י ב"מ (י:) וקצוה"ח (סי' שמח ס"ק ב), תוס' ב"ק (סה. ד"ה אין), ברכת שמואל ב"מ (סי' לה)]</w:t>
      </w:r>
    </w:p>
    <w:p w:rsidR="00E65FC0" w:rsidRDefault="00E65FC0" w:rsidP="00012B60">
      <w:pPr>
        <w:pStyle w:val="BodyText"/>
        <w:rPr>
          <w:rtl/>
        </w:rPr>
      </w:pPr>
    </w:p>
    <w:p w:rsidR="003F2164" w:rsidRDefault="003F2164" w:rsidP="00012B60">
      <w:pPr>
        <w:pStyle w:val="BodyText"/>
        <w:rPr>
          <w:rtl/>
        </w:rPr>
      </w:pPr>
      <w:r>
        <w:rPr>
          <w:rFonts w:hint="cs"/>
          <w:rtl/>
        </w:rPr>
        <w:t xml:space="preserve">22.  </w:t>
      </w:r>
      <w:r w:rsidR="00FD5972">
        <w:rPr>
          <w:rFonts w:hint="cs"/>
          <w:rtl/>
        </w:rPr>
        <w:t>הקשו בגמ' דאף אם חבירו תחב לו תרומה לתוך פיו יתחייב האוכל ד</w:t>
      </w:r>
      <w:r>
        <w:rPr>
          <w:rFonts w:hint="cs"/>
          <w:rtl/>
        </w:rPr>
        <w:t xml:space="preserve">"מכי לעסיה קנייה."  למה צריך לעיסה </w:t>
      </w:r>
      <w:r w:rsidR="00FD5972">
        <w:rPr>
          <w:rFonts w:hint="cs"/>
          <w:rtl/>
        </w:rPr>
        <w:t xml:space="preserve">כדי </w:t>
      </w:r>
      <w:r>
        <w:rPr>
          <w:rFonts w:hint="cs"/>
          <w:rtl/>
        </w:rPr>
        <w:t>לקנות, יקנה בפיו מדין חצר?  מה תירצו על זה המאירי, והשטמ"ק (לא.)?  וכיצד אפשר ליישב לפי התוס' בב"ק (סה.)?</w:t>
      </w:r>
    </w:p>
    <w:p w:rsidR="003F2164" w:rsidRDefault="00E65FC0" w:rsidP="00012B60">
      <w:pPr>
        <w:pStyle w:val="BodyText"/>
        <w:rPr>
          <w:rFonts w:hint="cs"/>
          <w:rtl/>
        </w:rPr>
      </w:pPr>
      <w:r>
        <w:rPr>
          <w:rFonts w:hint="cs"/>
          <w:rtl/>
        </w:rPr>
        <w:t>[מאירי (ל: ד"ה מכיון), שטמ"ק (לא. ד"ה והתוספות)]</w:t>
      </w:r>
    </w:p>
    <w:p w:rsidR="00E65FC0" w:rsidRDefault="00E65FC0" w:rsidP="00012B60">
      <w:pPr>
        <w:pStyle w:val="BodyText"/>
        <w:rPr>
          <w:rtl/>
        </w:rPr>
      </w:pPr>
    </w:p>
    <w:p w:rsidR="003F2164" w:rsidRDefault="003F2164" w:rsidP="00012B60">
      <w:pPr>
        <w:pStyle w:val="BodyText"/>
        <w:rPr>
          <w:rtl/>
        </w:rPr>
      </w:pPr>
      <w:r>
        <w:rPr>
          <w:rFonts w:hint="cs"/>
          <w:rtl/>
        </w:rPr>
        <w:t>23.  הקשו בגמ' "אי מצי לאהדורה ניהדר."  ופירש רש"י "וכי לא אהדרה מההיא שעתא איהו מזיק לה, דראשון לאו מידי עבד."  מה הקשה הגרעק"א על דברי רש"י?  תן ב' דרכים ליישב הקושיא?</w:t>
      </w:r>
    </w:p>
    <w:p w:rsidR="001760AF" w:rsidRDefault="00E65FC0" w:rsidP="00012B60">
      <w:pPr>
        <w:spacing w:after="0" w:line="240" w:lineRule="auto"/>
        <w:rPr>
          <w:rFonts w:cs="FrankRuehl"/>
          <w:sz w:val="20"/>
          <w:szCs w:val="26"/>
          <w:rtl/>
        </w:rPr>
      </w:pPr>
      <w:r>
        <w:rPr>
          <w:rFonts w:cs="FrankRuehl" w:hint="cs"/>
          <w:sz w:val="20"/>
          <w:szCs w:val="26"/>
          <w:rtl/>
        </w:rPr>
        <w:t>[חידושי רעק"א (ל: ד"ה ורש"י ז"ל), בעל המאור ב"ק (לח. ברי"ף), אמרי משה (סי' לג)]</w:t>
      </w:r>
    </w:p>
    <w:p w:rsidR="001760AF" w:rsidRDefault="001760AF" w:rsidP="00012B60">
      <w:pPr>
        <w:spacing w:after="0" w:line="240" w:lineRule="auto"/>
        <w:rPr>
          <w:rFonts w:cs="FrankRuehl"/>
          <w:sz w:val="20"/>
          <w:szCs w:val="26"/>
          <w:rtl/>
        </w:rPr>
      </w:pPr>
    </w:p>
    <w:p w:rsidR="002374F5" w:rsidRDefault="002374F5" w:rsidP="00012B60">
      <w:pPr>
        <w:spacing w:after="0" w:line="240" w:lineRule="auto"/>
        <w:rPr>
          <w:rFonts w:cs="FrankRuehl" w:hint="cs"/>
          <w:sz w:val="20"/>
          <w:szCs w:val="26"/>
          <w:rtl/>
        </w:rPr>
      </w:pPr>
    </w:p>
    <w:p w:rsidR="004F18FA" w:rsidRPr="00F40AFE" w:rsidRDefault="004F18FA" w:rsidP="00012B60">
      <w:pPr>
        <w:spacing w:after="0" w:line="240" w:lineRule="auto"/>
        <w:rPr>
          <w:rFonts w:cs="FrankRuehl"/>
          <w:sz w:val="20"/>
          <w:szCs w:val="26"/>
          <w:rtl/>
        </w:rPr>
      </w:pPr>
    </w:p>
    <w:p w:rsidR="00380F4E" w:rsidRPr="00F40AFE" w:rsidRDefault="00380F4E" w:rsidP="00012B60">
      <w:pPr>
        <w:pStyle w:val="Heading2"/>
        <w:spacing w:after="0" w:line="240" w:lineRule="auto"/>
        <w:rPr>
          <w:sz w:val="20"/>
          <w:rtl/>
        </w:rPr>
      </w:pPr>
      <w:r w:rsidRPr="00F40AFE">
        <w:rPr>
          <w:rFonts w:hint="cs"/>
          <w:sz w:val="20"/>
          <w:rtl/>
        </w:rPr>
        <w:t>ענינים שונים</w:t>
      </w:r>
    </w:p>
    <w:p w:rsidR="004F18FA" w:rsidRDefault="004F18FA" w:rsidP="00012B60">
      <w:pPr>
        <w:spacing w:after="0" w:line="240" w:lineRule="auto"/>
        <w:rPr>
          <w:rFonts w:cs="FrankRuehl" w:hint="cs"/>
          <w:sz w:val="20"/>
          <w:szCs w:val="26"/>
          <w:rtl/>
        </w:rPr>
      </w:pPr>
    </w:p>
    <w:p w:rsidR="004F18FA" w:rsidRDefault="004F18FA" w:rsidP="00012B60">
      <w:pPr>
        <w:spacing w:after="0" w:line="240" w:lineRule="auto"/>
        <w:rPr>
          <w:rFonts w:cs="FrankRuehl" w:hint="cs"/>
          <w:sz w:val="26"/>
          <w:szCs w:val="26"/>
          <w:rtl/>
        </w:rPr>
      </w:pPr>
      <w:r>
        <w:rPr>
          <w:rFonts w:cs="FrankRuehl" w:hint="cs"/>
          <w:sz w:val="26"/>
          <w:szCs w:val="26"/>
          <w:rtl/>
        </w:rPr>
        <w:t xml:space="preserve">1.  האם נשים חייבות להתפלל שחרית מנחה מעריב ומוסף </w:t>
      </w:r>
      <w:r>
        <w:rPr>
          <w:rFonts w:cs="FrankRuehl"/>
          <w:sz w:val="26"/>
          <w:szCs w:val="26"/>
          <w:rtl/>
        </w:rPr>
        <w:t>–</w:t>
      </w:r>
      <w:r>
        <w:rPr>
          <w:rFonts w:cs="FrankRuehl" w:hint="cs"/>
          <w:sz w:val="26"/>
          <w:szCs w:val="26"/>
          <w:rtl/>
        </w:rPr>
        <w:t xml:space="preserve"> לדעת הרמב"ם, ולדעת הרמב"ן?  באר.</w:t>
      </w:r>
    </w:p>
    <w:p w:rsidR="004F18FA" w:rsidRDefault="004F18FA" w:rsidP="00012B60">
      <w:pPr>
        <w:spacing w:after="0" w:line="240" w:lineRule="auto"/>
        <w:rPr>
          <w:rFonts w:cs="FrankRuehl" w:hint="cs"/>
          <w:sz w:val="26"/>
          <w:szCs w:val="26"/>
          <w:rtl/>
        </w:rPr>
      </w:pPr>
      <w:r>
        <w:rPr>
          <w:rFonts w:cs="FrankRuehl" w:hint="cs"/>
          <w:sz w:val="26"/>
          <w:szCs w:val="26"/>
          <w:rtl/>
        </w:rPr>
        <w:t>[מ"ב (סי' קו ס"ק ד)]</w:t>
      </w:r>
    </w:p>
    <w:p w:rsidR="004F18FA" w:rsidRDefault="004F18FA" w:rsidP="00012B60">
      <w:pPr>
        <w:spacing w:after="0" w:line="240" w:lineRule="auto"/>
        <w:rPr>
          <w:rFonts w:cs="FrankRuehl" w:hint="cs"/>
          <w:sz w:val="26"/>
          <w:szCs w:val="26"/>
          <w:rtl/>
        </w:rPr>
      </w:pPr>
    </w:p>
    <w:p w:rsidR="004F18FA" w:rsidRDefault="004F18FA" w:rsidP="00012B60">
      <w:pPr>
        <w:spacing w:after="0" w:line="240" w:lineRule="auto"/>
        <w:rPr>
          <w:rFonts w:cs="FrankRuehl" w:hint="cs"/>
          <w:sz w:val="26"/>
          <w:szCs w:val="26"/>
          <w:rtl/>
        </w:rPr>
      </w:pPr>
      <w:r>
        <w:rPr>
          <w:rFonts w:cs="FrankRuehl" w:hint="cs"/>
          <w:sz w:val="26"/>
          <w:szCs w:val="26"/>
          <w:rtl/>
        </w:rPr>
        <w:t>2.  עד איזה שעה ביום יכול לברך ברכות ק"ש?  באר.</w:t>
      </w:r>
    </w:p>
    <w:p w:rsidR="004F18FA" w:rsidRDefault="004F18FA" w:rsidP="00012B60">
      <w:pPr>
        <w:spacing w:after="0" w:line="240" w:lineRule="auto"/>
        <w:rPr>
          <w:rFonts w:cs="FrankRuehl" w:hint="cs"/>
          <w:sz w:val="26"/>
          <w:szCs w:val="26"/>
          <w:rtl/>
        </w:rPr>
      </w:pPr>
      <w:r>
        <w:rPr>
          <w:rFonts w:cs="FrankRuehl" w:hint="cs"/>
          <w:sz w:val="26"/>
          <w:szCs w:val="26"/>
          <w:rtl/>
        </w:rPr>
        <w:t>[שו"ע או"ח (סי' נח ס"ו) וביאור הגר"א שם, ביאור הלכה (סוף סי' נח) בשם המשכנות יעקב]</w:t>
      </w:r>
    </w:p>
    <w:p w:rsidR="004F18FA" w:rsidRDefault="004F18FA" w:rsidP="00012B60">
      <w:pPr>
        <w:spacing w:after="0" w:line="240" w:lineRule="auto"/>
        <w:rPr>
          <w:rFonts w:cs="FrankRuehl" w:hint="cs"/>
          <w:sz w:val="26"/>
          <w:szCs w:val="26"/>
          <w:rtl/>
        </w:rPr>
      </w:pPr>
    </w:p>
    <w:p w:rsidR="004F18FA" w:rsidRDefault="004F18FA" w:rsidP="00012B60">
      <w:pPr>
        <w:spacing w:after="0" w:line="240" w:lineRule="auto"/>
        <w:rPr>
          <w:rFonts w:cs="FrankRuehl" w:hint="cs"/>
          <w:sz w:val="26"/>
          <w:szCs w:val="26"/>
          <w:rtl/>
        </w:rPr>
      </w:pPr>
      <w:r>
        <w:rPr>
          <w:rFonts w:cs="FrankRuehl" w:hint="cs"/>
          <w:sz w:val="26"/>
          <w:szCs w:val="26"/>
          <w:rtl/>
        </w:rPr>
        <w:t>3.  מתי מותר להתפלל מנחה אחר פלג המנחה, ומעריב לפני צאת הכוכבים ביום א'?  באר.</w:t>
      </w:r>
    </w:p>
    <w:p w:rsidR="004F18FA" w:rsidRDefault="004F18FA" w:rsidP="00012B60">
      <w:pPr>
        <w:spacing w:after="0" w:line="240" w:lineRule="auto"/>
        <w:rPr>
          <w:rFonts w:cs="FrankRuehl" w:hint="cs"/>
          <w:sz w:val="26"/>
          <w:szCs w:val="26"/>
          <w:rtl/>
        </w:rPr>
      </w:pPr>
      <w:r>
        <w:rPr>
          <w:rFonts w:cs="FrankRuehl" w:hint="cs"/>
          <w:sz w:val="26"/>
          <w:szCs w:val="26"/>
          <w:rtl/>
        </w:rPr>
        <w:t>[מ"ב (סי' רלג ס"ק יא, סי' רסז ס"ק ג)]</w:t>
      </w:r>
    </w:p>
    <w:p w:rsidR="004F18FA" w:rsidRDefault="004F18FA" w:rsidP="00012B60">
      <w:pPr>
        <w:spacing w:after="0" w:line="240" w:lineRule="auto"/>
        <w:rPr>
          <w:rFonts w:cs="FrankRuehl" w:hint="cs"/>
          <w:sz w:val="20"/>
          <w:szCs w:val="26"/>
          <w:rtl/>
        </w:rPr>
      </w:pPr>
    </w:p>
    <w:p w:rsidR="004F18FA" w:rsidRDefault="008067CD" w:rsidP="00012B60">
      <w:pPr>
        <w:spacing w:after="0" w:line="240" w:lineRule="auto"/>
        <w:rPr>
          <w:rFonts w:cs="FrankRuehl" w:hint="cs"/>
          <w:sz w:val="20"/>
          <w:szCs w:val="26"/>
          <w:rtl/>
        </w:rPr>
      </w:pPr>
      <w:r>
        <w:rPr>
          <w:rFonts w:cs="FrankRuehl" w:hint="cs"/>
          <w:sz w:val="20"/>
          <w:szCs w:val="26"/>
          <w:rtl/>
        </w:rPr>
        <w:t>4.  למה נהגו לטבול בערב ראש השנה?  תן ב' טעמים</w:t>
      </w:r>
      <w:r w:rsidR="00FD5972">
        <w:rPr>
          <w:rFonts w:cs="FrankRuehl" w:hint="cs"/>
          <w:sz w:val="20"/>
          <w:szCs w:val="26"/>
          <w:rtl/>
        </w:rPr>
        <w:t xml:space="preserve"> לכך</w:t>
      </w:r>
      <w:r>
        <w:rPr>
          <w:rFonts w:cs="FrankRuehl" w:hint="cs"/>
          <w:sz w:val="20"/>
          <w:szCs w:val="26"/>
          <w:rtl/>
        </w:rPr>
        <w:t>.</w:t>
      </w:r>
    </w:p>
    <w:p w:rsidR="008067CD" w:rsidRDefault="008067CD" w:rsidP="00012B60">
      <w:pPr>
        <w:spacing w:after="0" w:line="240" w:lineRule="auto"/>
        <w:rPr>
          <w:rFonts w:cs="FrankRuehl" w:hint="cs"/>
          <w:sz w:val="20"/>
          <w:szCs w:val="26"/>
          <w:rtl/>
        </w:rPr>
      </w:pPr>
      <w:r>
        <w:rPr>
          <w:rFonts w:cs="FrankRuehl" w:hint="cs"/>
          <w:sz w:val="20"/>
          <w:szCs w:val="26"/>
          <w:rtl/>
        </w:rPr>
        <w:t>[רא"ש יומא (פ"ח סי' כד), שאגת אריה (סי' סז), גמ' ברכות (כ:)]</w:t>
      </w:r>
    </w:p>
    <w:p w:rsidR="008067CD" w:rsidRDefault="008067CD" w:rsidP="00012B60">
      <w:pPr>
        <w:spacing w:after="0" w:line="240" w:lineRule="auto"/>
        <w:rPr>
          <w:rFonts w:cs="FrankRuehl" w:hint="cs"/>
          <w:sz w:val="20"/>
          <w:szCs w:val="26"/>
          <w:rtl/>
        </w:rPr>
      </w:pPr>
    </w:p>
    <w:p w:rsidR="008067CD" w:rsidRDefault="008067CD" w:rsidP="00012B60">
      <w:pPr>
        <w:spacing w:after="0" w:line="240" w:lineRule="auto"/>
        <w:rPr>
          <w:rFonts w:cs="FrankRuehl" w:hint="cs"/>
          <w:sz w:val="20"/>
          <w:szCs w:val="26"/>
          <w:rtl/>
        </w:rPr>
      </w:pPr>
      <w:r>
        <w:rPr>
          <w:rFonts w:cs="FrankRuehl" w:hint="cs"/>
          <w:sz w:val="20"/>
          <w:szCs w:val="26"/>
          <w:rtl/>
        </w:rPr>
        <w:t>5.  למה נהגו לומר תפילה זכה לפני כל נדרי בליל יוה"כ?  תן ב' טעמים</w:t>
      </w:r>
      <w:r w:rsidR="00FD5972">
        <w:rPr>
          <w:rFonts w:cs="FrankRuehl" w:hint="cs"/>
          <w:sz w:val="20"/>
          <w:szCs w:val="26"/>
          <w:rtl/>
        </w:rPr>
        <w:t xml:space="preserve"> לכך</w:t>
      </w:r>
      <w:r>
        <w:rPr>
          <w:rFonts w:cs="FrankRuehl" w:hint="cs"/>
          <w:sz w:val="20"/>
          <w:szCs w:val="26"/>
          <w:rtl/>
        </w:rPr>
        <w:t>.</w:t>
      </w:r>
    </w:p>
    <w:p w:rsidR="008067CD" w:rsidRDefault="008067CD" w:rsidP="00012B60">
      <w:pPr>
        <w:spacing w:after="0" w:line="240" w:lineRule="auto"/>
        <w:rPr>
          <w:rFonts w:cs="FrankRuehl" w:hint="cs"/>
          <w:sz w:val="20"/>
          <w:szCs w:val="26"/>
          <w:rtl/>
        </w:rPr>
      </w:pPr>
      <w:r>
        <w:rPr>
          <w:rFonts w:cs="FrankRuehl" w:hint="cs"/>
          <w:sz w:val="20"/>
          <w:szCs w:val="26"/>
          <w:rtl/>
        </w:rPr>
        <w:t>[מ"ב (סי' תרז ס"ק א)</w:t>
      </w:r>
      <w:r w:rsidR="008E0EAC">
        <w:rPr>
          <w:rFonts w:cs="FrankRuehl" w:hint="cs"/>
          <w:sz w:val="20"/>
          <w:szCs w:val="26"/>
          <w:rtl/>
        </w:rPr>
        <w:t>, רמ"א (סי' תרח ס"ג) ומ"ב (ס"ק ב)]</w:t>
      </w:r>
    </w:p>
    <w:p w:rsidR="004F18FA" w:rsidRDefault="004F18FA" w:rsidP="00012B60">
      <w:pPr>
        <w:spacing w:after="0" w:line="240" w:lineRule="auto"/>
        <w:rPr>
          <w:rFonts w:cs="FrankRuehl" w:hint="cs"/>
          <w:sz w:val="20"/>
          <w:szCs w:val="26"/>
          <w:rtl/>
        </w:rPr>
      </w:pPr>
    </w:p>
    <w:p w:rsidR="004F18FA" w:rsidRPr="00F40AFE" w:rsidRDefault="004F18FA" w:rsidP="00012B60">
      <w:pPr>
        <w:spacing w:after="0" w:line="240" w:lineRule="auto"/>
        <w:rPr>
          <w:rFonts w:cs="FrankRuehl"/>
          <w:sz w:val="20"/>
          <w:szCs w:val="26"/>
          <w:rtl/>
        </w:rPr>
      </w:pPr>
      <w:bookmarkStart w:id="0" w:name="_GoBack"/>
      <w:bookmarkEnd w:id="0"/>
    </w:p>
    <w:sectPr w:rsidR="004F18FA" w:rsidRPr="00F40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35131"/>
    <w:rsid w:val="000769AE"/>
    <w:rsid w:val="000D57B6"/>
    <w:rsid w:val="00113A73"/>
    <w:rsid w:val="0012581F"/>
    <w:rsid w:val="0015374A"/>
    <w:rsid w:val="001760AF"/>
    <w:rsid w:val="001A6D7C"/>
    <w:rsid w:val="002374F5"/>
    <w:rsid w:val="0028553E"/>
    <w:rsid w:val="00345090"/>
    <w:rsid w:val="00380F4E"/>
    <w:rsid w:val="003D366D"/>
    <w:rsid w:val="003F2164"/>
    <w:rsid w:val="00432F93"/>
    <w:rsid w:val="00483CAB"/>
    <w:rsid w:val="004B5C0A"/>
    <w:rsid w:val="004F18FA"/>
    <w:rsid w:val="0051622D"/>
    <w:rsid w:val="0052377E"/>
    <w:rsid w:val="00605C13"/>
    <w:rsid w:val="0063181E"/>
    <w:rsid w:val="00645FAC"/>
    <w:rsid w:val="00654EB9"/>
    <w:rsid w:val="006D67F8"/>
    <w:rsid w:val="008067CD"/>
    <w:rsid w:val="00806FB7"/>
    <w:rsid w:val="008819A5"/>
    <w:rsid w:val="008E0EAC"/>
    <w:rsid w:val="008E22CF"/>
    <w:rsid w:val="00A2533D"/>
    <w:rsid w:val="00A31369"/>
    <w:rsid w:val="00A4015B"/>
    <w:rsid w:val="00B1269E"/>
    <w:rsid w:val="00B35962"/>
    <w:rsid w:val="00B42343"/>
    <w:rsid w:val="00B77C3D"/>
    <w:rsid w:val="00BF4AFD"/>
    <w:rsid w:val="00C6693E"/>
    <w:rsid w:val="00C80CE1"/>
    <w:rsid w:val="00C94767"/>
    <w:rsid w:val="00D017C0"/>
    <w:rsid w:val="00D07084"/>
    <w:rsid w:val="00DA6DD2"/>
    <w:rsid w:val="00DB185D"/>
    <w:rsid w:val="00E03B0D"/>
    <w:rsid w:val="00E11F72"/>
    <w:rsid w:val="00E65FC0"/>
    <w:rsid w:val="00EF0550"/>
    <w:rsid w:val="00F11724"/>
    <w:rsid w:val="00F40AFE"/>
    <w:rsid w:val="00F57085"/>
    <w:rsid w:val="00F7653B"/>
    <w:rsid w:val="00FA73EE"/>
    <w:rsid w:val="00FC23CD"/>
    <w:rsid w:val="00FD31F0"/>
    <w:rsid w:val="00FD5972"/>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13</cp:revision>
  <cp:lastPrinted>2013-10-23T15:36:00Z</cp:lastPrinted>
  <dcterms:created xsi:type="dcterms:W3CDTF">2014-10-23T20:09:00Z</dcterms:created>
  <dcterms:modified xsi:type="dcterms:W3CDTF">2014-10-24T13:04:00Z</dcterms:modified>
</cp:coreProperties>
</file>