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D" w:rsidRPr="00190313" w:rsidRDefault="00A2533D" w:rsidP="001940E1">
      <w:pPr>
        <w:spacing w:after="0" w:line="240" w:lineRule="auto"/>
        <w:rPr>
          <w:rFonts w:cs="FrankRuehl"/>
          <w:sz w:val="26"/>
          <w:szCs w:val="26"/>
          <w:rtl/>
        </w:rPr>
      </w:pPr>
      <w:r w:rsidRPr="00190313">
        <w:rPr>
          <w:rFonts w:cs="FrankRuehl" w:hint="cs"/>
          <w:sz w:val="26"/>
          <w:szCs w:val="26"/>
          <w:rtl/>
        </w:rPr>
        <w:t xml:space="preserve">הרב א. קניגסברג     </w:t>
      </w:r>
      <w:r w:rsidR="001940E1">
        <w:rPr>
          <w:rFonts w:cs="FrankRuehl" w:hint="cs"/>
          <w:sz w:val="26"/>
          <w:szCs w:val="26"/>
          <w:rtl/>
        </w:rPr>
        <w:t xml:space="preserve">     </w:t>
      </w:r>
      <w:r w:rsidRPr="00190313">
        <w:rPr>
          <w:rFonts w:cs="FrankRuehl" w:hint="cs"/>
          <w:sz w:val="26"/>
          <w:szCs w:val="26"/>
          <w:rtl/>
        </w:rPr>
        <w:t xml:space="preserve"> </w:t>
      </w:r>
      <w:r w:rsidR="00380F4E" w:rsidRPr="00190313">
        <w:rPr>
          <w:rFonts w:cs="FrankRuehl" w:hint="cs"/>
          <w:sz w:val="26"/>
          <w:szCs w:val="26"/>
          <w:rtl/>
        </w:rPr>
        <w:t xml:space="preserve"> </w:t>
      </w:r>
      <w:r w:rsidR="00035131" w:rsidRPr="00190313">
        <w:rPr>
          <w:rFonts w:cs="FrankRuehl" w:hint="cs"/>
          <w:sz w:val="26"/>
          <w:szCs w:val="26"/>
          <w:rtl/>
        </w:rPr>
        <w:t xml:space="preserve"> </w:t>
      </w:r>
      <w:r w:rsidR="00380F4E" w:rsidRPr="00190313">
        <w:rPr>
          <w:rFonts w:cs="FrankRuehl" w:hint="cs"/>
          <w:sz w:val="26"/>
          <w:szCs w:val="26"/>
          <w:rtl/>
        </w:rPr>
        <w:t xml:space="preserve">    </w:t>
      </w:r>
      <w:r w:rsidR="00483CAB" w:rsidRPr="00190313">
        <w:rPr>
          <w:rFonts w:cs="FrankRuehl" w:hint="cs"/>
          <w:sz w:val="26"/>
          <w:szCs w:val="26"/>
          <w:rtl/>
        </w:rPr>
        <w:t xml:space="preserve"> </w:t>
      </w:r>
      <w:r w:rsidR="00380F4E" w:rsidRPr="00190313">
        <w:rPr>
          <w:rFonts w:cs="FrankRuehl" w:hint="cs"/>
          <w:sz w:val="26"/>
          <w:szCs w:val="26"/>
          <w:rtl/>
        </w:rPr>
        <w:t xml:space="preserve"> </w:t>
      </w:r>
      <w:r w:rsidRPr="00190313">
        <w:rPr>
          <w:rFonts w:cs="FrankRuehl" w:hint="cs"/>
          <w:sz w:val="26"/>
          <w:szCs w:val="26"/>
          <w:u w:val="single"/>
          <w:rtl/>
        </w:rPr>
        <w:t>שאלות לחזרה במס</w:t>
      </w:r>
      <w:r w:rsidR="001760AF" w:rsidRPr="00190313">
        <w:rPr>
          <w:rFonts w:cs="FrankRuehl" w:hint="cs"/>
          <w:sz w:val="26"/>
          <w:szCs w:val="26"/>
          <w:u w:val="single"/>
          <w:rtl/>
        </w:rPr>
        <w:t>כת</w:t>
      </w:r>
      <w:r w:rsidRPr="00190313">
        <w:rPr>
          <w:rFonts w:cs="FrankRuehl" w:hint="cs"/>
          <w:sz w:val="26"/>
          <w:szCs w:val="26"/>
          <w:u w:val="single"/>
          <w:rtl/>
        </w:rPr>
        <w:t xml:space="preserve"> </w:t>
      </w:r>
      <w:r w:rsidR="00471F64">
        <w:rPr>
          <w:rFonts w:cs="FrankRuehl" w:hint="cs"/>
          <w:sz w:val="26"/>
          <w:szCs w:val="26"/>
          <w:u w:val="single"/>
          <w:rtl/>
        </w:rPr>
        <w:t>סוכה</w:t>
      </w:r>
      <w:r w:rsidR="003C61C0" w:rsidRPr="00190313">
        <w:rPr>
          <w:rFonts w:cs="FrankRuehl" w:hint="cs"/>
          <w:sz w:val="26"/>
          <w:szCs w:val="26"/>
          <w:u w:val="single"/>
          <w:rtl/>
        </w:rPr>
        <w:t xml:space="preserve"> </w:t>
      </w:r>
      <w:r w:rsidRPr="00190313">
        <w:rPr>
          <w:rFonts w:cs="FrankRuehl" w:hint="cs"/>
          <w:sz w:val="26"/>
          <w:szCs w:val="26"/>
          <w:u w:val="single"/>
          <w:rtl/>
        </w:rPr>
        <w:t>(</w:t>
      </w:r>
      <w:r w:rsidR="00936991">
        <w:rPr>
          <w:rFonts w:cs="FrankRuehl" w:hint="cs"/>
          <w:sz w:val="26"/>
          <w:szCs w:val="26"/>
          <w:u w:val="single"/>
          <w:rtl/>
        </w:rPr>
        <w:t>ד.-ד:, ו:-ז:, ח:-ט.</w:t>
      </w:r>
      <w:r w:rsidR="00380F4E" w:rsidRPr="00190313">
        <w:rPr>
          <w:rFonts w:cs="FrankRuehl" w:hint="cs"/>
          <w:sz w:val="26"/>
          <w:szCs w:val="26"/>
          <w:u w:val="single"/>
          <w:rtl/>
        </w:rPr>
        <w:t>)</w:t>
      </w:r>
      <w:r w:rsidRPr="00190313">
        <w:rPr>
          <w:rFonts w:cs="FrankRuehl" w:hint="cs"/>
          <w:sz w:val="26"/>
          <w:szCs w:val="26"/>
          <w:rtl/>
        </w:rPr>
        <w:tab/>
        <w:t xml:space="preserve"> </w:t>
      </w:r>
      <w:r w:rsidR="00380F4E" w:rsidRPr="00190313">
        <w:rPr>
          <w:rFonts w:cs="FrankRuehl" w:hint="cs"/>
          <w:sz w:val="26"/>
          <w:szCs w:val="26"/>
          <w:rtl/>
        </w:rPr>
        <w:t xml:space="preserve"> </w:t>
      </w:r>
      <w:r w:rsidRPr="00190313">
        <w:rPr>
          <w:rFonts w:cs="FrankRuehl" w:hint="cs"/>
          <w:sz w:val="26"/>
          <w:szCs w:val="26"/>
          <w:rtl/>
        </w:rPr>
        <w:t xml:space="preserve"> </w:t>
      </w:r>
      <w:r w:rsidR="00471F64">
        <w:rPr>
          <w:rFonts w:cs="FrankRuehl" w:hint="cs"/>
          <w:sz w:val="26"/>
          <w:szCs w:val="26"/>
          <w:rtl/>
        </w:rPr>
        <w:t xml:space="preserve">    </w:t>
      </w:r>
      <w:r w:rsidRPr="00190313">
        <w:rPr>
          <w:rFonts w:cs="FrankRuehl" w:hint="cs"/>
          <w:sz w:val="26"/>
          <w:szCs w:val="26"/>
          <w:rtl/>
        </w:rPr>
        <w:t xml:space="preserve"> </w:t>
      </w:r>
      <w:r w:rsidR="00471F64">
        <w:rPr>
          <w:rFonts w:cs="FrankRuehl" w:hint="cs"/>
          <w:sz w:val="26"/>
          <w:szCs w:val="26"/>
          <w:rtl/>
        </w:rPr>
        <w:t xml:space="preserve"> </w:t>
      </w:r>
      <w:r w:rsidR="001940E1">
        <w:rPr>
          <w:rFonts w:cs="FrankRuehl" w:hint="cs"/>
          <w:sz w:val="26"/>
          <w:szCs w:val="26"/>
          <w:rtl/>
        </w:rPr>
        <w:t xml:space="preserve"> </w:t>
      </w:r>
      <w:r w:rsidR="00471F64">
        <w:rPr>
          <w:rFonts w:cs="FrankRuehl" w:hint="cs"/>
          <w:sz w:val="26"/>
          <w:szCs w:val="26"/>
          <w:rtl/>
        </w:rPr>
        <w:t xml:space="preserve"> </w:t>
      </w:r>
      <w:r w:rsidR="00483CAB" w:rsidRPr="00190313">
        <w:rPr>
          <w:rFonts w:cs="FrankRuehl" w:hint="cs"/>
          <w:sz w:val="26"/>
          <w:szCs w:val="26"/>
          <w:rtl/>
        </w:rPr>
        <w:t xml:space="preserve">  </w:t>
      </w:r>
      <w:r w:rsidRPr="00190313">
        <w:rPr>
          <w:rFonts w:cs="FrankRuehl" w:hint="cs"/>
          <w:sz w:val="26"/>
          <w:szCs w:val="26"/>
          <w:rtl/>
        </w:rPr>
        <w:t xml:space="preserve"> </w:t>
      </w:r>
      <w:r w:rsidR="001940E1">
        <w:rPr>
          <w:rFonts w:cs="FrankRuehl" w:hint="cs"/>
          <w:sz w:val="26"/>
          <w:szCs w:val="26"/>
          <w:rtl/>
        </w:rPr>
        <w:t xml:space="preserve">  </w:t>
      </w:r>
      <w:r w:rsidRPr="00190313">
        <w:rPr>
          <w:rFonts w:cs="FrankRuehl" w:hint="cs"/>
          <w:sz w:val="26"/>
          <w:szCs w:val="26"/>
          <w:rtl/>
        </w:rPr>
        <w:t xml:space="preserve"> </w:t>
      </w:r>
      <w:r w:rsidR="00295EC8">
        <w:rPr>
          <w:rFonts w:cs="FrankRuehl" w:hint="cs"/>
          <w:sz w:val="26"/>
          <w:szCs w:val="26"/>
          <w:rtl/>
        </w:rPr>
        <w:t xml:space="preserve"> </w:t>
      </w:r>
      <w:r w:rsidR="001940E1">
        <w:rPr>
          <w:rFonts w:cs="FrankRuehl" w:hint="cs"/>
          <w:sz w:val="26"/>
          <w:szCs w:val="26"/>
          <w:rtl/>
        </w:rPr>
        <w:t>כסלו</w:t>
      </w:r>
      <w:r w:rsidR="00295EC8">
        <w:rPr>
          <w:rFonts w:cs="FrankRuehl" w:hint="cs"/>
          <w:sz w:val="26"/>
          <w:szCs w:val="26"/>
          <w:rtl/>
        </w:rPr>
        <w:t xml:space="preserve"> ת</w:t>
      </w:r>
      <w:r w:rsidRPr="00190313">
        <w:rPr>
          <w:rFonts w:cs="FrankRuehl" w:hint="cs"/>
          <w:sz w:val="26"/>
          <w:szCs w:val="26"/>
          <w:rtl/>
        </w:rPr>
        <w:t>שע"</w:t>
      </w:r>
      <w:r w:rsidR="00620833">
        <w:rPr>
          <w:rFonts w:cs="FrankRuehl" w:hint="cs"/>
          <w:sz w:val="26"/>
          <w:szCs w:val="26"/>
          <w:rtl/>
        </w:rPr>
        <w:t>ח</w:t>
      </w:r>
    </w:p>
    <w:p w:rsidR="001760AF" w:rsidRDefault="001760AF" w:rsidP="00012B60">
      <w:pPr>
        <w:spacing w:after="0" w:line="240" w:lineRule="auto"/>
        <w:rPr>
          <w:rFonts w:cs="FrankRuehl"/>
          <w:sz w:val="26"/>
          <w:szCs w:val="26"/>
          <w:rtl/>
        </w:rPr>
      </w:pPr>
    </w:p>
    <w:p w:rsidR="00936991" w:rsidRPr="00190313" w:rsidRDefault="00936991" w:rsidP="00012B60">
      <w:pPr>
        <w:spacing w:after="0" w:line="240" w:lineRule="auto"/>
        <w:rPr>
          <w:rFonts w:cs="FrankRuehl"/>
          <w:sz w:val="26"/>
          <w:szCs w:val="26"/>
          <w:rtl/>
        </w:rPr>
      </w:pPr>
    </w:p>
    <w:p w:rsidR="00936991" w:rsidRPr="00936991" w:rsidRDefault="00936991" w:rsidP="002D15F7">
      <w:pPr>
        <w:spacing w:after="0" w:line="240" w:lineRule="auto"/>
        <w:rPr>
          <w:rFonts w:cs="FrankRuehl"/>
          <w:sz w:val="26"/>
          <w:szCs w:val="26"/>
          <w:rtl/>
        </w:rPr>
      </w:pPr>
      <w:r>
        <w:rPr>
          <w:rFonts w:cs="FrankRuehl" w:hint="cs"/>
          <w:sz w:val="26"/>
          <w:szCs w:val="26"/>
          <w:rtl/>
        </w:rPr>
        <w:t xml:space="preserve">1.  </w:t>
      </w:r>
      <w:r w:rsidRPr="00936991">
        <w:rPr>
          <w:rFonts w:cs="FrankRuehl" w:hint="cs"/>
          <w:sz w:val="26"/>
          <w:szCs w:val="26"/>
          <w:rtl/>
        </w:rPr>
        <w:t xml:space="preserve">מבואר במשנה (טז.) שדפנות הסוכה אינן צריכין ליגע בסכך.  במה נחלקו הריטב"א והר"ן בביאור דין זה?  מתי צריך שהדפנות </w:t>
      </w:r>
      <w:r w:rsidR="002D15F7">
        <w:rPr>
          <w:rFonts w:cs="FrankRuehl" w:hint="cs"/>
          <w:sz w:val="26"/>
          <w:szCs w:val="26"/>
          <w:rtl/>
        </w:rPr>
        <w:t>יגיעו</w:t>
      </w:r>
      <w:r w:rsidRPr="00936991">
        <w:rPr>
          <w:rFonts w:cs="FrankRuehl" w:hint="cs"/>
          <w:sz w:val="26"/>
          <w:szCs w:val="26"/>
          <w:rtl/>
        </w:rPr>
        <w:t xml:space="preserve"> לסכך </w:t>
      </w:r>
      <w:r w:rsidRPr="00936991">
        <w:rPr>
          <w:rFonts w:cs="FrankRuehl"/>
          <w:sz w:val="26"/>
          <w:szCs w:val="26"/>
          <w:rtl/>
        </w:rPr>
        <w:t>–</w:t>
      </w:r>
      <w:r w:rsidRPr="00936991">
        <w:rPr>
          <w:rFonts w:cs="FrankRuehl" w:hint="cs"/>
          <w:sz w:val="26"/>
          <w:szCs w:val="26"/>
          <w:rtl/>
        </w:rPr>
        <w:t xml:space="preserve"> לדעת הר"ן?  כיצד ביאר</w:t>
      </w:r>
      <w:r w:rsidR="002D15F7">
        <w:rPr>
          <w:rFonts w:cs="FrankRuehl" w:hint="cs"/>
          <w:sz w:val="26"/>
          <w:szCs w:val="26"/>
          <w:rtl/>
        </w:rPr>
        <w:t>ו</w:t>
      </w:r>
      <w:r w:rsidRPr="00936991">
        <w:rPr>
          <w:rFonts w:cs="FrankRuehl" w:hint="cs"/>
          <w:sz w:val="26"/>
          <w:szCs w:val="26"/>
          <w:rtl/>
        </w:rPr>
        <w:t xml:space="preserve"> הגרעק"א </w:t>
      </w:r>
      <w:r w:rsidR="002D15F7">
        <w:rPr>
          <w:rFonts w:cs="FrankRuehl" w:hint="cs"/>
          <w:sz w:val="26"/>
          <w:szCs w:val="26"/>
          <w:rtl/>
        </w:rPr>
        <w:t xml:space="preserve">והקהלות יעקב </w:t>
      </w:r>
      <w:r w:rsidRPr="00936991">
        <w:rPr>
          <w:rFonts w:cs="FrankRuehl" w:hint="cs"/>
          <w:sz w:val="26"/>
          <w:szCs w:val="26"/>
          <w:rtl/>
        </w:rPr>
        <w:t>בד</w:t>
      </w:r>
      <w:r w:rsidR="002D15F7">
        <w:rPr>
          <w:rFonts w:cs="FrankRuehl" w:hint="cs"/>
          <w:sz w:val="26"/>
          <w:szCs w:val="26"/>
          <w:rtl/>
        </w:rPr>
        <w:t>עת הר"ן?</w:t>
      </w:r>
    </w:p>
    <w:p w:rsidR="00936991" w:rsidRDefault="00B72DDB" w:rsidP="00936991">
      <w:pPr>
        <w:spacing w:after="0" w:line="240" w:lineRule="auto"/>
        <w:rPr>
          <w:rFonts w:cs="FrankRuehl"/>
          <w:sz w:val="26"/>
          <w:szCs w:val="26"/>
          <w:rtl/>
        </w:rPr>
      </w:pPr>
      <w:r>
        <w:rPr>
          <w:rFonts w:cs="FrankRuehl" w:hint="cs"/>
          <w:sz w:val="26"/>
          <w:szCs w:val="26"/>
          <w:rtl/>
        </w:rPr>
        <w:t>[ר"ן (ב. ברי"ף, ט. ברי"ף), ריטב"א (טז.), שו"ת רעק"א (סי' יב), קהלות יעקב (סי' ג)]</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2.  </w:t>
      </w:r>
      <w:r w:rsidRPr="00936991">
        <w:rPr>
          <w:rFonts w:cs="FrankRuehl" w:hint="cs"/>
          <w:sz w:val="26"/>
          <w:szCs w:val="26"/>
          <w:rtl/>
        </w:rPr>
        <w:t>מה חידש הרי"ץ גיאות לגבי סוכה למעלה מכ' אמה שבנה בה איצטבא?  תן ב' ביאורים בטעם הדבר.  ומאי נפקא מינה בין הפירושים?</w:t>
      </w:r>
    </w:p>
    <w:p w:rsidR="00936991" w:rsidRPr="00936991" w:rsidRDefault="00936991" w:rsidP="00936991">
      <w:pPr>
        <w:spacing w:after="0" w:line="240" w:lineRule="auto"/>
        <w:rPr>
          <w:rFonts w:cs="FrankRuehl"/>
          <w:sz w:val="26"/>
          <w:szCs w:val="26"/>
          <w:rtl/>
        </w:rPr>
      </w:pPr>
      <w:r w:rsidRPr="00936991">
        <w:rPr>
          <w:rFonts w:cs="FrankRuehl" w:hint="cs"/>
          <w:sz w:val="26"/>
          <w:szCs w:val="26"/>
          <w:rtl/>
        </w:rPr>
        <w:t>[</w:t>
      </w:r>
      <w:r w:rsidR="00B72DDB">
        <w:rPr>
          <w:rFonts w:cs="FrankRuehl" w:hint="cs"/>
          <w:sz w:val="26"/>
          <w:szCs w:val="26"/>
          <w:rtl/>
        </w:rPr>
        <w:t>רא"ש (סי' ה) ו</w:t>
      </w:r>
      <w:r w:rsidRPr="00936991">
        <w:rPr>
          <w:rFonts w:cs="FrankRuehl" w:hint="cs"/>
          <w:sz w:val="26"/>
          <w:szCs w:val="26"/>
          <w:rtl/>
        </w:rPr>
        <w:t>תפארת שמואל</w:t>
      </w:r>
      <w:r w:rsidR="00B72DDB">
        <w:rPr>
          <w:rFonts w:cs="FrankRuehl" w:hint="cs"/>
          <w:sz w:val="26"/>
          <w:szCs w:val="26"/>
          <w:rtl/>
        </w:rPr>
        <w:t xml:space="preserve"> שם</w:t>
      </w:r>
      <w:r w:rsidRPr="00936991">
        <w:rPr>
          <w:rFonts w:cs="FrankRuehl" w:hint="cs"/>
          <w:sz w:val="26"/>
          <w:szCs w:val="26"/>
          <w:rtl/>
        </w:rPr>
        <w:t>, ספר המכתם</w:t>
      </w:r>
      <w:r w:rsidR="00B72DDB">
        <w:rPr>
          <w:rFonts w:cs="FrankRuehl" w:hint="cs"/>
          <w:sz w:val="26"/>
          <w:szCs w:val="26"/>
          <w:rtl/>
        </w:rPr>
        <w:t xml:space="preserve"> (ד. ד"ה היתה)</w:t>
      </w:r>
      <w:r w:rsidRPr="00936991">
        <w:rPr>
          <w:rFonts w:cs="FrankRuehl" w:hint="cs"/>
          <w:sz w:val="26"/>
          <w:szCs w:val="26"/>
          <w:rtl/>
        </w:rPr>
        <w:t>]</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3.  </w:t>
      </w:r>
      <w:r w:rsidRPr="00936991">
        <w:rPr>
          <w:rFonts w:cs="FrankRuehl" w:hint="cs"/>
          <w:sz w:val="26"/>
          <w:szCs w:val="26"/>
          <w:rtl/>
        </w:rPr>
        <w:t>מבואר בגמ' (ד.) שאם היתה הסוכה פחותה מי' טפחים וחקק בה כדי להשלימה לעשרה אם יש משפת החקק ולכותל פחות משלשה טפחים כשרה מדין לבוד.  האם צריך שיהיה הכשר סוכה במקום החקק?  למה?  מה קשה על שיטת רש"י בזה?  מה תירץ על זה הר"ן?</w:t>
      </w:r>
    </w:p>
    <w:p w:rsidR="00936991" w:rsidRDefault="00B72DDB" w:rsidP="00936991">
      <w:pPr>
        <w:spacing w:after="0" w:line="240" w:lineRule="auto"/>
        <w:rPr>
          <w:rFonts w:cs="FrankRuehl"/>
          <w:sz w:val="26"/>
          <w:szCs w:val="26"/>
          <w:rtl/>
        </w:rPr>
      </w:pPr>
      <w:r>
        <w:rPr>
          <w:rFonts w:cs="FrankRuehl" w:hint="cs"/>
          <w:sz w:val="26"/>
          <w:szCs w:val="26"/>
          <w:rtl/>
        </w:rPr>
        <w:t>[רש"י (ד.), רבינו אברהם מן ההר</w:t>
      </w:r>
      <w:r w:rsidR="00053B0B">
        <w:rPr>
          <w:rFonts w:cs="FrankRuehl" w:hint="cs"/>
          <w:sz w:val="26"/>
          <w:szCs w:val="26"/>
          <w:rtl/>
        </w:rPr>
        <w:t xml:space="preserve"> (ד. ד"ה וחקק, ד: ד"ה פחות), ר"ן (א: ברי"ף)]</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4.</w:t>
      </w:r>
      <w:r>
        <w:rPr>
          <w:rFonts w:cs="FrankRuehl" w:hint="cs"/>
          <w:sz w:val="26"/>
          <w:szCs w:val="26"/>
          <w:rtl/>
        </w:rPr>
        <w:tab/>
      </w:r>
      <w:r w:rsidRPr="00936991">
        <w:rPr>
          <w:rFonts w:cs="FrankRuehl" w:hint="cs"/>
          <w:sz w:val="26"/>
          <w:szCs w:val="26"/>
          <w:rtl/>
        </w:rPr>
        <w:t xml:space="preserve">א)  האם יכול לישב במקום שבין החקק ולכותל </w:t>
      </w:r>
      <w:r w:rsidRPr="00936991">
        <w:rPr>
          <w:rFonts w:cs="FrankRuehl"/>
          <w:sz w:val="26"/>
          <w:szCs w:val="26"/>
          <w:rtl/>
        </w:rPr>
        <w:t>–</w:t>
      </w:r>
      <w:r w:rsidRPr="00936991">
        <w:rPr>
          <w:rFonts w:cs="FrankRuehl" w:hint="cs"/>
          <w:sz w:val="26"/>
          <w:szCs w:val="26"/>
          <w:rtl/>
        </w:rPr>
        <w:t xml:space="preserve"> לדעת הטור?  מה הקשה עליו הב"י?  מה תירץ על זה הפרישה?  מה קשה עליו?  מה תירץ על זה הביכורי יעקב?</w:t>
      </w:r>
    </w:p>
    <w:p w:rsidR="00936991" w:rsidRPr="00936991" w:rsidRDefault="00936991" w:rsidP="002D15F7">
      <w:pPr>
        <w:spacing w:after="0" w:line="240" w:lineRule="auto"/>
        <w:ind w:firstLine="360"/>
        <w:rPr>
          <w:rFonts w:cs="FrankRuehl"/>
          <w:sz w:val="26"/>
          <w:szCs w:val="26"/>
          <w:rtl/>
        </w:rPr>
      </w:pPr>
      <w:r w:rsidRPr="00936991">
        <w:rPr>
          <w:rFonts w:cs="FrankRuehl" w:hint="cs"/>
          <w:sz w:val="26"/>
          <w:szCs w:val="26"/>
          <w:rtl/>
        </w:rPr>
        <w:t xml:space="preserve">ב)  </w:t>
      </w:r>
      <w:r w:rsidR="002D15F7">
        <w:rPr>
          <w:rFonts w:cs="FrankRuehl" w:hint="cs"/>
          <w:sz w:val="26"/>
          <w:szCs w:val="26"/>
          <w:rtl/>
        </w:rPr>
        <w:t>מה היא שיטת המאירי בזה?</w:t>
      </w:r>
      <w:r w:rsidRPr="00936991">
        <w:rPr>
          <w:rFonts w:cs="FrankRuehl" w:hint="cs"/>
          <w:sz w:val="26"/>
          <w:szCs w:val="26"/>
          <w:rtl/>
        </w:rPr>
        <w:t xml:space="preserve">  מה קשה על שיטתו?  כיצד אפשר לבאר שיטתו?</w:t>
      </w:r>
    </w:p>
    <w:p w:rsidR="00936991" w:rsidRDefault="00053B0B" w:rsidP="00936991">
      <w:pPr>
        <w:spacing w:after="0" w:line="240" w:lineRule="auto"/>
        <w:rPr>
          <w:rFonts w:cs="FrankRuehl"/>
          <w:sz w:val="26"/>
          <w:szCs w:val="26"/>
          <w:rtl/>
        </w:rPr>
      </w:pPr>
      <w:r>
        <w:rPr>
          <w:rFonts w:cs="FrankRuehl" w:hint="cs"/>
          <w:sz w:val="26"/>
          <w:szCs w:val="26"/>
          <w:rtl/>
        </w:rPr>
        <w:t>[טור (סי' תרלג ס"י) וב"י ופרישה שם, ביכורי יעקב שם (ס"ק יא), מאירי (ד. ד"ה היתה פחותה)]</w:t>
      </w:r>
    </w:p>
    <w:p w:rsidR="00936991" w:rsidRPr="00936991" w:rsidRDefault="00936991" w:rsidP="00936991">
      <w:pPr>
        <w:spacing w:after="0" w:line="240" w:lineRule="auto"/>
        <w:rPr>
          <w:rFonts w:cs="FrankRuehl"/>
          <w:sz w:val="26"/>
          <w:szCs w:val="26"/>
          <w:rtl/>
        </w:rPr>
      </w:pPr>
    </w:p>
    <w:p w:rsidR="00936991" w:rsidRPr="00936991" w:rsidRDefault="00936991" w:rsidP="002D15F7">
      <w:pPr>
        <w:spacing w:after="0" w:line="240" w:lineRule="auto"/>
        <w:rPr>
          <w:rFonts w:cs="FrankRuehl"/>
          <w:sz w:val="26"/>
          <w:szCs w:val="26"/>
        </w:rPr>
      </w:pPr>
      <w:r>
        <w:rPr>
          <w:rFonts w:cs="FrankRuehl" w:hint="cs"/>
          <w:sz w:val="26"/>
          <w:szCs w:val="26"/>
          <w:rtl/>
        </w:rPr>
        <w:t xml:space="preserve">5.  </w:t>
      </w:r>
      <w:r w:rsidRPr="00936991">
        <w:rPr>
          <w:rFonts w:cs="FrankRuehl" w:hint="cs"/>
          <w:sz w:val="26"/>
          <w:szCs w:val="26"/>
          <w:rtl/>
        </w:rPr>
        <w:t xml:space="preserve">מבואר בגמ' שאם יש משפת חקק ולכותל ג' טפחים או יותר הסוכה פסולה.  והקשו הראשונים דהא מבואר בגמ' שבת דבית שאין תוכו י' וחקק בה כדי להשלימה לי' מותר לטלטל בכולו.  ואמאי לא חילקו שם </w:t>
      </w:r>
      <w:r w:rsidR="002D15F7">
        <w:rPr>
          <w:rFonts w:cs="FrankRuehl" w:hint="cs"/>
          <w:sz w:val="26"/>
          <w:szCs w:val="26"/>
          <w:rtl/>
        </w:rPr>
        <w:t xml:space="preserve">שאם </w:t>
      </w:r>
      <w:r w:rsidRPr="00936991">
        <w:rPr>
          <w:rFonts w:cs="FrankRuehl" w:hint="cs"/>
          <w:sz w:val="26"/>
          <w:szCs w:val="26"/>
          <w:rtl/>
        </w:rPr>
        <w:t xml:space="preserve">יש ג' טפחים מן החקק ולכותל </w:t>
      </w:r>
      <w:r w:rsidR="002D15F7">
        <w:rPr>
          <w:rFonts w:cs="FrankRuehl" w:hint="cs"/>
          <w:sz w:val="26"/>
          <w:szCs w:val="26"/>
          <w:rtl/>
        </w:rPr>
        <w:t>אסור לטלטל</w:t>
      </w:r>
      <w:r w:rsidRPr="00936991">
        <w:rPr>
          <w:rFonts w:cs="FrankRuehl" w:hint="cs"/>
          <w:sz w:val="26"/>
          <w:szCs w:val="26"/>
          <w:rtl/>
        </w:rPr>
        <w:t>?  מה תירצו על זה הרשב"א, התוס', והתוס' ישנים?</w:t>
      </w:r>
    </w:p>
    <w:p w:rsidR="00936991" w:rsidRDefault="00053B0B" w:rsidP="00936991">
      <w:pPr>
        <w:spacing w:after="0" w:line="240" w:lineRule="auto"/>
        <w:rPr>
          <w:rFonts w:cs="FrankRuehl"/>
          <w:sz w:val="26"/>
          <w:szCs w:val="26"/>
          <w:rtl/>
        </w:rPr>
      </w:pPr>
      <w:r>
        <w:rPr>
          <w:rFonts w:cs="FrankRuehl" w:hint="cs"/>
          <w:sz w:val="26"/>
          <w:szCs w:val="26"/>
          <w:rtl/>
        </w:rPr>
        <w:t>[תוס' שבת (ז: ד"ה ואם) ותוס' ישנים שם, רשב"א שם (ד"ה ואם)]</w:t>
      </w:r>
    </w:p>
    <w:p w:rsidR="00936991" w:rsidRPr="00936991" w:rsidRDefault="00936991" w:rsidP="00936991">
      <w:pPr>
        <w:spacing w:after="0" w:line="240" w:lineRule="auto"/>
        <w:rPr>
          <w:rFonts w:cs="FrankRuehl"/>
          <w:sz w:val="26"/>
          <w:szCs w:val="26"/>
          <w:rtl/>
        </w:rPr>
      </w:pPr>
    </w:p>
    <w:p w:rsidR="00936991" w:rsidRPr="00936991" w:rsidRDefault="00936991" w:rsidP="002D15F7">
      <w:pPr>
        <w:spacing w:after="0" w:line="240" w:lineRule="auto"/>
        <w:rPr>
          <w:rFonts w:cs="FrankRuehl"/>
          <w:sz w:val="26"/>
          <w:szCs w:val="26"/>
          <w:rtl/>
        </w:rPr>
      </w:pPr>
      <w:r>
        <w:rPr>
          <w:rFonts w:cs="FrankRuehl" w:hint="cs"/>
          <w:sz w:val="26"/>
          <w:szCs w:val="26"/>
          <w:rtl/>
        </w:rPr>
        <w:t xml:space="preserve">6.  </w:t>
      </w:r>
      <w:r w:rsidRPr="00936991">
        <w:rPr>
          <w:rFonts w:cs="FrankRuehl" w:hint="cs"/>
          <w:sz w:val="26"/>
          <w:szCs w:val="26"/>
          <w:rtl/>
        </w:rPr>
        <w:t xml:space="preserve">"היתה גבוהה מעשרים אמה ובנה בה עמוד שהוא גבוה עשרה טפחים..."  האם הסוכה כשירה </w:t>
      </w:r>
      <w:r w:rsidRPr="00936991">
        <w:rPr>
          <w:rFonts w:cs="FrankRuehl"/>
          <w:sz w:val="26"/>
          <w:szCs w:val="26"/>
          <w:rtl/>
        </w:rPr>
        <w:t>–</w:t>
      </w:r>
      <w:r w:rsidRPr="00936991">
        <w:rPr>
          <w:rFonts w:cs="FrankRuehl" w:hint="cs"/>
          <w:sz w:val="26"/>
          <w:szCs w:val="26"/>
          <w:rtl/>
        </w:rPr>
        <w:t xml:space="preserve"> לפי אביי </w:t>
      </w:r>
      <w:r w:rsidR="002D15F7">
        <w:rPr>
          <w:rFonts w:cs="FrankRuehl" w:hint="cs"/>
          <w:sz w:val="26"/>
          <w:szCs w:val="26"/>
          <w:rtl/>
        </w:rPr>
        <w:t>ו</w:t>
      </w:r>
      <w:r w:rsidRPr="00936991">
        <w:rPr>
          <w:rFonts w:cs="FrankRuehl" w:hint="cs"/>
          <w:sz w:val="26"/>
          <w:szCs w:val="26"/>
          <w:rtl/>
        </w:rPr>
        <w:t xml:space="preserve">רבא?  ולמה?  באר דברי רבא </w:t>
      </w:r>
      <w:r w:rsidRPr="00936991">
        <w:rPr>
          <w:rFonts w:cs="FrankRuehl"/>
          <w:sz w:val="26"/>
          <w:szCs w:val="26"/>
          <w:rtl/>
        </w:rPr>
        <w:t>–</w:t>
      </w:r>
      <w:r w:rsidRPr="00936991">
        <w:rPr>
          <w:rFonts w:cs="FrankRuehl" w:hint="cs"/>
          <w:sz w:val="26"/>
          <w:szCs w:val="26"/>
          <w:rtl/>
        </w:rPr>
        <w:t xml:space="preserve"> לפי הר"ן, הריטב"א, והמאירי</w:t>
      </w:r>
      <w:r w:rsidR="002D15F7">
        <w:rPr>
          <w:rFonts w:cs="FrankRuehl" w:hint="cs"/>
          <w:sz w:val="26"/>
          <w:szCs w:val="26"/>
          <w:rtl/>
        </w:rPr>
        <w:t>\והרמב"ם</w:t>
      </w:r>
      <w:r w:rsidRPr="00936991">
        <w:rPr>
          <w:rFonts w:cs="FrankRuehl" w:hint="cs"/>
          <w:sz w:val="26"/>
          <w:szCs w:val="26"/>
          <w:rtl/>
        </w:rPr>
        <w:t>.  ותן נפק</w:t>
      </w:r>
      <w:r w:rsidR="002D15F7">
        <w:rPr>
          <w:rFonts w:cs="FrankRuehl" w:hint="cs"/>
          <w:sz w:val="26"/>
          <w:szCs w:val="26"/>
          <w:rtl/>
        </w:rPr>
        <w:t>"מ</w:t>
      </w:r>
      <w:r w:rsidRPr="00936991">
        <w:rPr>
          <w:rFonts w:cs="FrankRuehl" w:hint="cs"/>
          <w:sz w:val="26"/>
          <w:szCs w:val="26"/>
          <w:rtl/>
        </w:rPr>
        <w:t xml:space="preserve"> בין השיטות.</w:t>
      </w:r>
    </w:p>
    <w:p w:rsidR="00936991" w:rsidRDefault="00DA4895" w:rsidP="00936991">
      <w:pPr>
        <w:spacing w:after="0" w:line="240" w:lineRule="auto"/>
        <w:rPr>
          <w:rFonts w:cs="FrankRuehl"/>
          <w:sz w:val="26"/>
          <w:szCs w:val="26"/>
          <w:rtl/>
        </w:rPr>
      </w:pPr>
      <w:r>
        <w:rPr>
          <w:rFonts w:cs="FrankRuehl" w:hint="cs"/>
          <w:sz w:val="26"/>
          <w:szCs w:val="26"/>
          <w:rtl/>
        </w:rPr>
        <w:t>[גמ' (ד:) וריטב"א ומאירי שם, ר"ן (ב. ברי"ף ד"ה וגרסי' תו), רמב"ם הל' סוכה (פ"ד הי"ד)</w:t>
      </w:r>
      <w:r w:rsidR="002D15F7">
        <w:rPr>
          <w:rFonts w:cs="FrankRuehl" w:hint="cs"/>
          <w:sz w:val="26"/>
          <w:szCs w:val="26"/>
          <w:rtl/>
        </w:rPr>
        <w:t>]</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7.  </w:t>
      </w:r>
      <w:r w:rsidRPr="00936991">
        <w:rPr>
          <w:rFonts w:cs="FrankRuehl" w:hint="cs"/>
          <w:sz w:val="26"/>
          <w:szCs w:val="26"/>
          <w:rtl/>
        </w:rPr>
        <w:t xml:space="preserve">"נעץ ארבעה קונדיסין וסיכך על גבן ר' יעקב מכשיר וחכמים פוסלין."  במה נחלקו ר' יעקב וחכמים </w:t>
      </w:r>
      <w:r w:rsidRPr="00936991">
        <w:rPr>
          <w:rFonts w:cs="FrankRuehl"/>
          <w:sz w:val="26"/>
          <w:szCs w:val="26"/>
          <w:rtl/>
        </w:rPr>
        <w:t>–</w:t>
      </w:r>
      <w:r w:rsidRPr="00936991">
        <w:rPr>
          <w:rFonts w:cs="FrankRuehl" w:hint="cs"/>
          <w:sz w:val="26"/>
          <w:szCs w:val="26"/>
          <w:rtl/>
        </w:rPr>
        <w:t xml:space="preserve"> לפי רב הונא, ולפי רב נחמן?  תן ב' קושיות שהקשה הרש"ש בדברי הגמ' לפי רב נחמן?  ומה תירץ?</w:t>
      </w:r>
    </w:p>
    <w:p w:rsidR="00936991" w:rsidRDefault="00D4227E" w:rsidP="00936991">
      <w:pPr>
        <w:spacing w:after="0" w:line="240" w:lineRule="auto"/>
        <w:rPr>
          <w:rFonts w:cs="FrankRuehl"/>
          <w:sz w:val="26"/>
          <w:szCs w:val="26"/>
          <w:rtl/>
        </w:rPr>
      </w:pPr>
      <w:r>
        <w:rPr>
          <w:rFonts w:cs="FrankRuehl" w:hint="cs"/>
          <w:sz w:val="26"/>
          <w:szCs w:val="26"/>
          <w:rtl/>
        </w:rPr>
        <w:t>[גמ' (ד:) ורש"ש שם]</w:t>
      </w:r>
    </w:p>
    <w:p w:rsidR="00936991" w:rsidRPr="00936991" w:rsidRDefault="00936991" w:rsidP="00936991">
      <w:pPr>
        <w:spacing w:after="0" w:line="240" w:lineRule="auto"/>
        <w:rPr>
          <w:rFonts w:cs="FrankRuehl"/>
          <w:sz w:val="26"/>
          <w:szCs w:val="26"/>
          <w:rtl/>
        </w:rPr>
      </w:pPr>
      <w:r w:rsidRPr="00936991">
        <w:rPr>
          <w:rFonts w:cs="FrankRuehl"/>
          <w:sz w:val="26"/>
          <w:szCs w:val="26"/>
          <w:rtl/>
        </w:rPr>
        <w:t xml:space="preserve"> </w:t>
      </w:r>
    </w:p>
    <w:p w:rsidR="00936991" w:rsidRPr="00936991" w:rsidRDefault="00936991" w:rsidP="00D65E03">
      <w:pPr>
        <w:spacing w:after="0" w:line="240" w:lineRule="auto"/>
        <w:rPr>
          <w:rFonts w:cs="FrankRuehl"/>
          <w:sz w:val="26"/>
          <w:szCs w:val="26"/>
          <w:rtl/>
        </w:rPr>
      </w:pPr>
      <w:r>
        <w:rPr>
          <w:rFonts w:cs="FrankRuehl" w:hint="cs"/>
          <w:sz w:val="26"/>
          <w:szCs w:val="26"/>
          <w:rtl/>
        </w:rPr>
        <w:t>8.</w:t>
      </w:r>
      <w:r>
        <w:rPr>
          <w:rFonts w:cs="FrankRuehl" w:hint="cs"/>
          <w:sz w:val="26"/>
          <w:szCs w:val="26"/>
          <w:rtl/>
        </w:rPr>
        <w:tab/>
      </w:r>
      <w:r w:rsidRPr="00936991">
        <w:rPr>
          <w:rFonts w:cs="FrankRuehl" w:hint="cs"/>
          <w:sz w:val="26"/>
          <w:szCs w:val="26"/>
          <w:rtl/>
        </w:rPr>
        <w:t xml:space="preserve">א)  מבואר בגמ' דר' יעקב וחכמים בודאי פליגי אם נעץ ד' קונדיסין בארץ, </w:t>
      </w:r>
      <w:r w:rsidR="00B03322">
        <w:rPr>
          <w:rFonts w:cs="FrankRuehl" w:hint="cs"/>
          <w:sz w:val="26"/>
          <w:szCs w:val="26"/>
          <w:rtl/>
        </w:rPr>
        <w:t>ד</w:t>
      </w:r>
      <w:r w:rsidRPr="00936991">
        <w:rPr>
          <w:rFonts w:cs="FrankRuehl" w:hint="cs"/>
          <w:sz w:val="26"/>
          <w:szCs w:val="26"/>
          <w:rtl/>
        </w:rPr>
        <w:t xml:space="preserve">ר' יעקב סבר </w:t>
      </w:r>
      <w:r w:rsidR="00DA4895">
        <w:rPr>
          <w:rFonts w:cs="FrankRuehl" w:hint="cs"/>
          <w:sz w:val="26"/>
          <w:szCs w:val="26"/>
          <w:rtl/>
        </w:rPr>
        <w:t>ד</w:t>
      </w:r>
      <w:r w:rsidRPr="00936991">
        <w:rPr>
          <w:rFonts w:cs="FrankRuehl" w:hint="cs"/>
          <w:sz w:val="26"/>
          <w:szCs w:val="26"/>
          <w:rtl/>
        </w:rPr>
        <w:t>דיומדי סוכה טפח.  מה הקשו על זה התוס'?  ומה תיר</w:t>
      </w:r>
      <w:r w:rsidR="00D65E03">
        <w:rPr>
          <w:rFonts w:cs="FrankRuehl" w:hint="cs"/>
          <w:sz w:val="26"/>
          <w:szCs w:val="26"/>
          <w:rtl/>
        </w:rPr>
        <w:t>צו</w:t>
      </w:r>
      <w:bookmarkStart w:id="0" w:name="_GoBack"/>
      <w:bookmarkEnd w:id="0"/>
      <w:r w:rsidRPr="00936991">
        <w:rPr>
          <w:rFonts w:cs="FrankRuehl" w:hint="cs"/>
          <w:sz w:val="26"/>
          <w:szCs w:val="26"/>
          <w:rtl/>
        </w:rPr>
        <w:t>?  מה תירץ על זה רבינו פרץ?  באר במה נחלקו.</w:t>
      </w:r>
    </w:p>
    <w:p w:rsidR="00936991" w:rsidRPr="00936991" w:rsidRDefault="00936991" w:rsidP="00936991">
      <w:pPr>
        <w:spacing w:after="0" w:line="240" w:lineRule="auto"/>
        <w:ind w:firstLine="360"/>
        <w:rPr>
          <w:rFonts w:cs="FrankRuehl"/>
          <w:sz w:val="26"/>
          <w:szCs w:val="26"/>
          <w:rtl/>
        </w:rPr>
      </w:pPr>
      <w:r w:rsidRPr="00936991">
        <w:rPr>
          <w:rFonts w:cs="FrankRuehl" w:hint="cs"/>
          <w:sz w:val="26"/>
          <w:szCs w:val="26"/>
          <w:rtl/>
        </w:rPr>
        <w:t xml:space="preserve">ב)  החכמים חולקים על ר' יעקב וסוברים </w:t>
      </w:r>
      <w:r w:rsidR="00B03322">
        <w:rPr>
          <w:rFonts w:cs="FrankRuehl" w:hint="cs"/>
          <w:sz w:val="26"/>
          <w:szCs w:val="26"/>
          <w:rtl/>
        </w:rPr>
        <w:t>ד</w:t>
      </w:r>
      <w:r w:rsidRPr="00936991">
        <w:rPr>
          <w:rFonts w:cs="FrankRuehl" w:hint="cs"/>
          <w:sz w:val="26"/>
          <w:szCs w:val="26"/>
          <w:rtl/>
        </w:rPr>
        <w:t xml:space="preserve">שתים כהלכתן ושלישית אפי' טפח.  במה נחלקו ר' יעקב וחכמים </w:t>
      </w:r>
      <w:r w:rsidRPr="00936991">
        <w:rPr>
          <w:rFonts w:cs="FrankRuehl"/>
          <w:sz w:val="26"/>
          <w:szCs w:val="26"/>
          <w:rtl/>
        </w:rPr>
        <w:t>–</w:t>
      </w:r>
      <w:r w:rsidRPr="00936991">
        <w:rPr>
          <w:rFonts w:cs="FrankRuehl" w:hint="cs"/>
          <w:sz w:val="26"/>
          <w:szCs w:val="26"/>
          <w:rtl/>
        </w:rPr>
        <w:t xml:space="preserve"> לפי רש"י, ולפי הרא"ה?  באר שיטת הרא"ה.</w:t>
      </w:r>
    </w:p>
    <w:p w:rsidR="00936991" w:rsidRDefault="00D4227E" w:rsidP="00936991">
      <w:pPr>
        <w:spacing w:after="0" w:line="240" w:lineRule="auto"/>
        <w:rPr>
          <w:rFonts w:cs="FrankRuehl"/>
          <w:sz w:val="26"/>
          <w:szCs w:val="26"/>
          <w:rtl/>
        </w:rPr>
      </w:pPr>
      <w:r>
        <w:rPr>
          <w:rFonts w:cs="FrankRuehl" w:hint="cs"/>
          <w:sz w:val="26"/>
          <w:szCs w:val="26"/>
          <w:rtl/>
        </w:rPr>
        <w:t>[תוס' (ד: ד"ה אבל), רבינו פרץ שם, חידושי הגרי"ז, רא"ה שם (ד"ה ת"ר נעץ)</w:t>
      </w:r>
      <w:r w:rsidR="00B03322">
        <w:rPr>
          <w:rFonts w:cs="FrankRuehl" w:hint="cs"/>
          <w:sz w:val="26"/>
          <w:szCs w:val="26"/>
          <w:rtl/>
        </w:rPr>
        <w:t>]</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9.  </w:t>
      </w:r>
      <w:r w:rsidRPr="00936991">
        <w:rPr>
          <w:rFonts w:cs="FrankRuehl" w:hint="cs"/>
          <w:sz w:val="26"/>
          <w:szCs w:val="26"/>
          <w:rtl/>
        </w:rPr>
        <w:t xml:space="preserve">במה נחלקו ת"ק ור"ש במנין דפנות הסוכה?  תן ד' דרכים שהובאו בגמ' (ו:) לבאר מחלוקתן.  כיצד ביאר אביי (ז:) את שיטת ר"ש?  למה בגמ' (ו:) הוצרכו לחדש טעמים נוספים לבאר שיטת ר"ש, ולא פירשו כמו אביי?  מה הקשה </w:t>
      </w:r>
      <w:r w:rsidR="00B03322">
        <w:rPr>
          <w:rFonts w:cs="FrankRuehl" w:hint="cs"/>
          <w:sz w:val="26"/>
          <w:szCs w:val="26"/>
          <w:rtl/>
        </w:rPr>
        <w:t>ה</w:t>
      </w:r>
      <w:r w:rsidRPr="00936991">
        <w:rPr>
          <w:rFonts w:cs="FrankRuehl" w:hint="cs"/>
          <w:sz w:val="26"/>
          <w:szCs w:val="26"/>
          <w:rtl/>
        </w:rPr>
        <w:t>מהר"ם לפירוש הב' במחלוקת ת"ק ור"ש?  ומה תירץ?</w:t>
      </w:r>
    </w:p>
    <w:p w:rsidR="00936991" w:rsidRDefault="00D4227E" w:rsidP="00936991">
      <w:pPr>
        <w:spacing w:after="0" w:line="240" w:lineRule="auto"/>
        <w:rPr>
          <w:rFonts w:cs="FrankRuehl"/>
          <w:sz w:val="26"/>
          <w:szCs w:val="26"/>
          <w:rtl/>
        </w:rPr>
      </w:pPr>
      <w:r>
        <w:rPr>
          <w:rFonts w:cs="FrankRuehl" w:hint="cs"/>
          <w:sz w:val="26"/>
          <w:szCs w:val="26"/>
          <w:rtl/>
        </w:rPr>
        <w:t>[גמ' (ו:, ז:), ערוך לנר ומהר"ם (ו:)]</w:t>
      </w:r>
    </w:p>
    <w:p w:rsidR="00D4227E" w:rsidRDefault="00D4227E"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10.  </w:t>
      </w:r>
      <w:r w:rsidRPr="00936991">
        <w:rPr>
          <w:rFonts w:cs="FrankRuehl" w:hint="cs"/>
          <w:sz w:val="26"/>
          <w:szCs w:val="26"/>
          <w:rtl/>
        </w:rPr>
        <w:t xml:space="preserve">לפירוש הג' בגמ' פליגי ר"ש ורבנן אם אתיא הלכתא להוסיף או לגרע.  במה תלויה מחלוקת זו </w:t>
      </w:r>
      <w:r w:rsidRPr="00936991">
        <w:rPr>
          <w:rFonts w:cs="FrankRuehl"/>
          <w:sz w:val="26"/>
          <w:szCs w:val="26"/>
          <w:rtl/>
        </w:rPr>
        <w:t>–</w:t>
      </w:r>
      <w:r w:rsidRPr="00936991">
        <w:rPr>
          <w:rFonts w:cs="FrankRuehl" w:hint="cs"/>
          <w:sz w:val="26"/>
          <w:szCs w:val="26"/>
          <w:rtl/>
        </w:rPr>
        <w:t xml:space="preserve"> לפי המרחשת?  איזה ב' שיטות בראשונים פירש הפורת יוסף עפ"י היסוד דאתיא ההלכתא לגרע?</w:t>
      </w:r>
    </w:p>
    <w:p w:rsidR="00936991" w:rsidRDefault="00D4227E" w:rsidP="00936991">
      <w:pPr>
        <w:spacing w:after="0" w:line="240" w:lineRule="auto"/>
        <w:rPr>
          <w:rFonts w:cs="FrankRuehl"/>
          <w:sz w:val="26"/>
          <w:szCs w:val="26"/>
          <w:rtl/>
        </w:rPr>
      </w:pPr>
      <w:r>
        <w:rPr>
          <w:rFonts w:cs="FrankRuehl" w:hint="cs"/>
          <w:sz w:val="26"/>
          <w:szCs w:val="26"/>
          <w:rtl/>
        </w:rPr>
        <w:t>[מרחשת (ח"א סי' טז), פורת יוסף (ו:), תוס' (ט. ד"ה מנין), תוס' ר"ה (כח: ד"ה ומנא)]</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lastRenderedPageBreak/>
        <w:t xml:space="preserve">11.  </w:t>
      </w:r>
      <w:r w:rsidRPr="00936991">
        <w:rPr>
          <w:rFonts w:cs="FrankRuehl" w:hint="cs"/>
          <w:sz w:val="26"/>
          <w:szCs w:val="26"/>
          <w:rtl/>
        </w:rPr>
        <w:t xml:space="preserve">"ואותו טפח היכן מעמידו."  מה סובר רב, ומה סוברים רב כהנא ורב אסי בזה </w:t>
      </w:r>
      <w:r w:rsidRPr="00936991">
        <w:rPr>
          <w:rFonts w:cs="FrankRuehl"/>
          <w:sz w:val="26"/>
          <w:szCs w:val="26"/>
          <w:rtl/>
        </w:rPr>
        <w:t>–</w:t>
      </w:r>
      <w:r w:rsidRPr="00936991">
        <w:rPr>
          <w:rFonts w:cs="FrankRuehl" w:hint="cs"/>
          <w:sz w:val="26"/>
          <w:szCs w:val="26"/>
          <w:rtl/>
        </w:rPr>
        <w:t xml:space="preserve"> לפי פירוש המהרש"ל בדעת רש"י?  איזה ב' קושיות הקשה המהר"ם על פירוש זה?  כיצד פירש המהר"ם במחלוקת האמוראים?  באר שיטת רב, ושיטת רב כהנא ורב אסי </w:t>
      </w:r>
      <w:r w:rsidRPr="00936991">
        <w:rPr>
          <w:rFonts w:cs="FrankRuehl"/>
          <w:sz w:val="26"/>
          <w:szCs w:val="26"/>
          <w:rtl/>
        </w:rPr>
        <w:t>–</w:t>
      </w:r>
      <w:r w:rsidRPr="00936991">
        <w:rPr>
          <w:rFonts w:cs="FrankRuehl" w:hint="cs"/>
          <w:sz w:val="26"/>
          <w:szCs w:val="26"/>
          <w:rtl/>
        </w:rPr>
        <w:t xml:space="preserve"> לפי ב' הפירושים.</w:t>
      </w:r>
    </w:p>
    <w:p w:rsidR="00936991" w:rsidRDefault="00D4227E" w:rsidP="00936991">
      <w:pPr>
        <w:spacing w:after="0" w:line="240" w:lineRule="auto"/>
        <w:rPr>
          <w:rFonts w:cs="FrankRuehl"/>
          <w:sz w:val="26"/>
          <w:szCs w:val="26"/>
          <w:rtl/>
        </w:rPr>
      </w:pPr>
      <w:r>
        <w:rPr>
          <w:rFonts w:cs="FrankRuehl" w:hint="cs"/>
          <w:sz w:val="26"/>
          <w:szCs w:val="26"/>
          <w:rtl/>
        </w:rPr>
        <w:t xml:space="preserve">[רש"י (ו: ד"ה כנגד, ז. ד"ה ויעמידנו) וחכמת שלמה ומהר"ם שם, </w:t>
      </w:r>
      <w:r w:rsidR="00AE6610">
        <w:rPr>
          <w:rFonts w:cs="FrankRuehl" w:hint="cs"/>
          <w:sz w:val="26"/>
          <w:szCs w:val="26"/>
          <w:rtl/>
        </w:rPr>
        <w:t>גרי"ז]</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12.  </w:t>
      </w:r>
      <w:r w:rsidRPr="00936991">
        <w:rPr>
          <w:rFonts w:cs="FrankRuehl" w:hint="cs"/>
          <w:sz w:val="26"/>
          <w:szCs w:val="26"/>
          <w:rtl/>
        </w:rPr>
        <w:t xml:space="preserve">"רבי סימון ואיתימא ר' יהושע בן לוי אמר עושה לו טפח שוחק ומעמידו בפחות משלשה טפחים סמוך לדופן."  במה נחלקו התוס' (ז:) והרמב"ן בביאור שיטת רבי סימון?  למה צריך טפח שוחק לפי רבי סימון </w:t>
      </w:r>
      <w:r w:rsidRPr="00936991">
        <w:rPr>
          <w:rFonts w:cs="FrankRuehl"/>
          <w:sz w:val="26"/>
          <w:szCs w:val="26"/>
          <w:rtl/>
        </w:rPr>
        <w:t>–</w:t>
      </w:r>
      <w:r w:rsidRPr="00936991">
        <w:rPr>
          <w:rFonts w:cs="FrankRuehl" w:hint="cs"/>
          <w:sz w:val="26"/>
          <w:szCs w:val="26"/>
          <w:rtl/>
        </w:rPr>
        <w:t xml:space="preserve"> לדעת רש"י?  מה הקשו על זה הראשונים?  מה תירץ הריטב"א?  ומה תירץ הר"ן?</w:t>
      </w:r>
    </w:p>
    <w:p w:rsidR="00936991" w:rsidRDefault="00AE6610" w:rsidP="00936991">
      <w:pPr>
        <w:spacing w:after="0" w:line="240" w:lineRule="auto"/>
        <w:rPr>
          <w:rFonts w:cs="FrankRuehl"/>
          <w:sz w:val="26"/>
          <w:szCs w:val="26"/>
          <w:rtl/>
        </w:rPr>
      </w:pPr>
      <w:r>
        <w:rPr>
          <w:rFonts w:cs="FrankRuehl" w:hint="cs"/>
          <w:sz w:val="26"/>
          <w:szCs w:val="26"/>
          <w:rtl/>
        </w:rPr>
        <w:t>[תוס' (ז: ד"ה סיכך), רמב"ן מלחמות ה' שם, ריטב"א (ז. ד"ה והאי), ר"ן (ב. ברי"ף ד"ה ת"ר)]</w:t>
      </w:r>
    </w:p>
    <w:p w:rsidR="00936991" w:rsidRPr="00936991" w:rsidRDefault="00936991" w:rsidP="00936991">
      <w:pPr>
        <w:spacing w:after="0" w:line="240" w:lineRule="auto"/>
        <w:rPr>
          <w:rFonts w:cs="FrankRuehl"/>
          <w:sz w:val="26"/>
          <w:szCs w:val="26"/>
          <w:rtl/>
        </w:rPr>
      </w:pPr>
    </w:p>
    <w:p w:rsidR="00936991" w:rsidRPr="00936991" w:rsidRDefault="00936991" w:rsidP="0079054A">
      <w:pPr>
        <w:spacing w:after="0" w:line="240" w:lineRule="auto"/>
        <w:rPr>
          <w:rFonts w:cs="FrankRuehl"/>
          <w:sz w:val="26"/>
          <w:szCs w:val="26"/>
          <w:rtl/>
        </w:rPr>
      </w:pPr>
      <w:r>
        <w:rPr>
          <w:rFonts w:cs="FrankRuehl" w:hint="cs"/>
          <w:sz w:val="26"/>
          <w:szCs w:val="26"/>
          <w:rtl/>
        </w:rPr>
        <w:t xml:space="preserve">13.  </w:t>
      </w:r>
      <w:r w:rsidRPr="00936991">
        <w:rPr>
          <w:rFonts w:cs="FrankRuehl" w:hint="cs"/>
          <w:sz w:val="26"/>
          <w:szCs w:val="26"/>
          <w:rtl/>
        </w:rPr>
        <w:t xml:space="preserve">מה </w:t>
      </w:r>
      <w:r w:rsidR="0079054A">
        <w:rPr>
          <w:rFonts w:cs="FrankRuehl" w:hint="cs"/>
          <w:sz w:val="26"/>
          <w:szCs w:val="26"/>
          <w:rtl/>
        </w:rPr>
        <w:t>ה</w:t>
      </w:r>
      <w:r w:rsidRPr="00936991">
        <w:rPr>
          <w:rFonts w:cs="FrankRuehl" w:hint="cs"/>
          <w:sz w:val="26"/>
          <w:szCs w:val="26"/>
          <w:rtl/>
        </w:rPr>
        <w:t xml:space="preserve">דין </w:t>
      </w:r>
      <w:r w:rsidR="0079054A">
        <w:rPr>
          <w:rFonts w:cs="FrankRuehl" w:hint="cs"/>
          <w:sz w:val="26"/>
          <w:szCs w:val="26"/>
          <w:rtl/>
        </w:rPr>
        <w:t>ב</w:t>
      </w:r>
      <w:r w:rsidRPr="00936991">
        <w:rPr>
          <w:rFonts w:cs="FrankRuehl" w:hint="cs"/>
          <w:sz w:val="26"/>
          <w:szCs w:val="26"/>
          <w:rtl/>
        </w:rPr>
        <w:t xml:space="preserve">סוכה העשויה כמבוי </w:t>
      </w:r>
      <w:r w:rsidRPr="00936991">
        <w:rPr>
          <w:rFonts w:cs="FrankRuehl"/>
          <w:sz w:val="26"/>
          <w:szCs w:val="26"/>
          <w:rtl/>
        </w:rPr>
        <w:t>–</w:t>
      </w:r>
      <w:r w:rsidRPr="00936991">
        <w:rPr>
          <w:rFonts w:cs="FrankRuehl" w:hint="cs"/>
          <w:sz w:val="26"/>
          <w:szCs w:val="26"/>
          <w:rtl/>
        </w:rPr>
        <w:t xml:space="preserve"> לפי רב יהודה, ולפי רבי סימון?  באר במה נחלקו </w:t>
      </w:r>
      <w:r w:rsidRPr="00936991">
        <w:rPr>
          <w:rFonts w:cs="FrankRuehl"/>
          <w:sz w:val="26"/>
          <w:szCs w:val="26"/>
          <w:rtl/>
        </w:rPr>
        <w:t>–</w:t>
      </w:r>
      <w:r w:rsidRPr="00936991">
        <w:rPr>
          <w:rFonts w:cs="FrankRuehl" w:hint="cs"/>
          <w:sz w:val="26"/>
          <w:szCs w:val="26"/>
          <w:rtl/>
        </w:rPr>
        <w:t xml:space="preserve"> לפי רש"י.  מה החילוק לרבי סימון בין סוכה העשויה כמבוי וסתם סוכה </w:t>
      </w:r>
      <w:r w:rsidRPr="00936991">
        <w:rPr>
          <w:rFonts w:cs="FrankRuehl"/>
          <w:sz w:val="26"/>
          <w:szCs w:val="26"/>
          <w:rtl/>
        </w:rPr>
        <w:t>–</w:t>
      </w:r>
      <w:r w:rsidRPr="00936991">
        <w:rPr>
          <w:rFonts w:cs="FrankRuehl" w:hint="cs"/>
          <w:sz w:val="26"/>
          <w:szCs w:val="26"/>
          <w:rtl/>
        </w:rPr>
        <w:t xml:space="preserve"> לפי הגמ'?</w:t>
      </w:r>
    </w:p>
    <w:p w:rsidR="00936991" w:rsidRDefault="00AE6610" w:rsidP="00936991">
      <w:pPr>
        <w:spacing w:after="0" w:line="240" w:lineRule="auto"/>
        <w:rPr>
          <w:rFonts w:cs="FrankRuehl"/>
          <w:sz w:val="26"/>
          <w:szCs w:val="26"/>
          <w:rtl/>
        </w:rPr>
      </w:pPr>
      <w:r>
        <w:rPr>
          <w:rFonts w:cs="FrankRuehl" w:hint="cs"/>
          <w:sz w:val="26"/>
          <w:szCs w:val="26"/>
          <w:rtl/>
        </w:rPr>
        <w:t>[גמ' (ז.) ורש"י שם]</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14.  </w:t>
      </w:r>
      <w:r w:rsidRPr="00936991">
        <w:rPr>
          <w:rFonts w:cs="FrankRuehl" w:hint="cs"/>
          <w:sz w:val="26"/>
          <w:szCs w:val="26"/>
          <w:rtl/>
        </w:rPr>
        <w:t>קיי"ל דשתים כהלכתן ושלישית אפי' טפח.  האם צריך צורת הפתח ברוח ג'?  תן ג' לשונות של רבא בזה.  האם צריך צורת הפתח בסוכה העשויה כמבוי?  למה?</w:t>
      </w:r>
    </w:p>
    <w:p w:rsidR="00936991" w:rsidRDefault="00AE6610" w:rsidP="00936991">
      <w:pPr>
        <w:spacing w:after="0" w:line="240" w:lineRule="auto"/>
        <w:rPr>
          <w:rFonts w:cs="FrankRuehl"/>
          <w:sz w:val="26"/>
          <w:szCs w:val="26"/>
          <w:rtl/>
        </w:rPr>
      </w:pPr>
      <w:r>
        <w:rPr>
          <w:rFonts w:cs="FrankRuehl" w:hint="cs"/>
          <w:sz w:val="26"/>
          <w:szCs w:val="26"/>
          <w:rtl/>
        </w:rPr>
        <w:t>[גמ' (ז.), רמב"ם הל' סוכה (פ"ד ה"ג) ומגיד משנה שם בשם יש מפרשים, ביאור הגר"א (סי' תרל ס"ק יב)]</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15.  </w:t>
      </w:r>
      <w:r w:rsidRPr="00936991">
        <w:rPr>
          <w:rFonts w:cs="FrankRuehl" w:hint="cs"/>
          <w:sz w:val="26"/>
          <w:szCs w:val="26"/>
          <w:rtl/>
        </w:rPr>
        <w:t xml:space="preserve">מה הקשה הריטב"א בשם התוספות על לישנא קמא דרבא?  כיצד אפשר ליישב הקושיא </w:t>
      </w:r>
      <w:r w:rsidRPr="00936991">
        <w:rPr>
          <w:rFonts w:cs="FrankRuehl"/>
          <w:sz w:val="26"/>
          <w:szCs w:val="26"/>
          <w:rtl/>
        </w:rPr>
        <w:t>–</w:t>
      </w:r>
      <w:r w:rsidRPr="00936991">
        <w:rPr>
          <w:rFonts w:cs="FrankRuehl" w:hint="cs"/>
          <w:sz w:val="26"/>
          <w:szCs w:val="26"/>
          <w:rtl/>
        </w:rPr>
        <w:t xml:space="preserve"> לפי הב"ח?  מה תירצו התוס' בזה?  לפי הלישנא מציעא דרבא, למה אמרו בברייתא דשלישית אפי' טפח.  תן דברי רש"י והריטב"א בזה, ובאר דבריהם.</w:t>
      </w:r>
    </w:p>
    <w:p w:rsidR="00936991" w:rsidRDefault="00AE6610" w:rsidP="00936991">
      <w:pPr>
        <w:spacing w:after="0" w:line="240" w:lineRule="auto"/>
        <w:rPr>
          <w:rFonts w:cs="FrankRuehl"/>
          <w:sz w:val="26"/>
          <w:szCs w:val="26"/>
          <w:rtl/>
        </w:rPr>
      </w:pPr>
      <w:r>
        <w:rPr>
          <w:rFonts w:cs="FrankRuehl" w:hint="cs"/>
          <w:sz w:val="26"/>
          <w:szCs w:val="26"/>
          <w:rtl/>
        </w:rPr>
        <w:t>[רש"י (ז. ד"ה ונתרת), ריטב"א (ז. ד"ה גירסת), ב"ח (סי' תרל ס"ב)]</w:t>
      </w:r>
    </w:p>
    <w:p w:rsidR="00936991" w:rsidRPr="00936991" w:rsidRDefault="00936991" w:rsidP="00936991">
      <w:pPr>
        <w:spacing w:after="0" w:line="240" w:lineRule="auto"/>
        <w:rPr>
          <w:rFonts w:cs="FrankRuehl"/>
          <w:sz w:val="26"/>
          <w:szCs w:val="26"/>
          <w:rtl/>
        </w:rPr>
      </w:pPr>
    </w:p>
    <w:p w:rsidR="00936991" w:rsidRPr="00936991" w:rsidRDefault="00936991" w:rsidP="00DE0BFB">
      <w:pPr>
        <w:spacing w:after="0" w:line="240" w:lineRule="auto"/>
        <w:rPr>
          <w:rFonts w:cs="FrankRuehl"/>
          <w:sz w:val="26"/>
          <w:szCs w:val="26"/>
          <w:rtl/>
        </w:rPr>
      </w:pPr>
      <w:r>
        <w:rPr>
          <w:rFonts w:cs="FrankRuehl" w:hint="cs"/>
          <w:sz w:val="26"/>
          <w:szCs w:val="26"/>
          <w:rtl/>
        </w:rPr>
        <w:t xml:space="preserve">16.  </w:t>
      </w:r>
      <w:r w:rsidRPr="00936991">
        <w:rPr>
          <w:rFonts w:cs="FrankRuehl" w:hint="cs"/>
          <w:sz w:val="26"/>
          <w:szCs w:val="26"/>
          <w:rtl/>
        </w:rPr>
        <w:t>מה חידש הלבוש בלישנא בתרא דרבא</w:t>
      </w:r>
      <w:r w:rsidR="00DE0BFB">
        <w:rPr>
          <w:rFonts w:cs="FrankRuehl" w:hint="cs"/>
          <w:sz w:val="26"/>
          <w:szCs w:val="26"/>
          <w:rtl/>
        </w:rPr>
        <w:t>?</w:t>
      </w:r>
      <w:r w:rsidRPr="00936991">
        <w:rPr>
          <w:rFonts w:cs="FrankRuehl" w:hint="cs"/>
          <w:sz w:val="26"/>
          <w:szCs w:val="26"/>
          <w:rtl/>
        </w:rPr>
        <w:t xml:space="preserve">  האם אפשר לדייק כן מלשון רש"י?  מה הקשה השער הציון על שיטה זו?  ומה אפשר לתרץ?</w:t>
      </w:r>
    </w:p>
    <w:p w:rsidR="00936991" w:rsidRDefault="00AE6610" w:rsidP="00936991">
      <w:pPr>
        <w:spacing w:after="0" w:line="240" w:lineRule="auto"/>
        <w:rPr>
          <w:rFonts w:cs="FrankRuehl"/>
          <w:sz w:val="26"/>
          <w:szCs w:val="26"/>
          <w:rtl/>
        </w:rPr>
      </w:pPr>
      <w:r>
        <w:rPr>
          <w:rFonts w:cs="FrankRuehl" w:hint="cs"/>
          <w:sz w:val="26"/>
          <w:szCs w:val="26"/>
          <w:rtl/>
        </w:rPr>
        <w:t>[שער הציון (סי' תרל ס"ק ב), חזון איש (סי' עה אות ח')]</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17.  </w:t>
      </w:r>
      <w:r w:rsidRPr="00936991">
        <w:rPr>
          <w:rFonts w:cs="FrankRuehl" w:hint="cs"/>
          <w:sz w:val="26"/>
          <w:szCs w:val="26"/>
          <w:rtl/>
        </w:rPr>
        <w:t>האם צורת הפתח מועלת בכל דפנות הסוכה?  למה?  תן דברי הר"ן והרא"ש ו</w:t>
      </w:r>
      <w:r w:rsidR="0079054A">
        <w:rPr>
          <w:rFonts w:cs="FrankRuehl" w:hint="cs"/>
          <w:sz w:val="26"/>
          <w:szCs w:val="26"/>
          <w:rtl/>
        </w:rPr>
        <w:t xml:space="preserve">ביאור </w:t>
      </w:r>
      <w:r w:rsidRPr="00936991">
        <w:rPr>
          <w:rFonts w:cs="FrankRuehl" w:hint="cs"/>
          <w:sz w:val="26"/>
          <w:szCs w:val="26"/>
          <w:rtl/>
        </w:rPr>
        <w:t>הגרי"ז בזה.</w:t>
      </w:r>
    </w:p>
    <w:p w:rsidR="00936991" w:rsidRDefault="00AE6610" w:rsidP="00936991">
      <w:pPr>
        <w:spacing w:after="0" w:line="240" w:lineRule="auto"/>
        <w:rPr>
          <w:rFonts w:cs="FrankRuehl"/>
          <w:sz w:val="26"/>
          <w:szCs w:val="26"/>
          <w:rtl/>
        </w:rPr>
      </w:pPr>
      <w:r>
        <w:rPr>
          <w:rFonts w:cs="FrankRuehl" w:hint="cs"/>
          <w:sz w:val="26"/>
          <w:szCs w:val="26"/>
          <w:rtl/>
        </w:rPr>
        <w:t>[ר"ן (ב: ברי"ף ד"ה ואמר רבא), רא"ש (סי' לד), בה"ל (סי' תרל ד"ה שיעמיד), גרי"ז]</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18.  </w:t>
      </w:r>
      <w:r w:rsidRPr="00936991">
        <w:rPr>
          <w:rFonts w:cs="FrankRuehl" w:hint="cs"/>
          <w:sz w:val="26"/>
          <w:szCs w:val="26"/>
          <w:rtl/>
        </w:rPr>
        <w:t xml:space="preserve">מבואר בגמ' דלדעת רבא מיגו דהויא דופן לענין סוכה הויא דופן לענין שבת.  מה בא המיגו לחדש </w:t>
      </w:r>
      <w:r w:rsidRPr="00936991">
        <w:rPr>
          <w:rFonts w:cs="FrankRuehl"/>
          <w:sz w:val="26"/>
          <w:szCs w:val="26"/>
          <w:rtl/>
        </w:rPr>
        <w:t>–</w:t>
      </w:r>
      <w:r w:rsidRPr="00936991">
        <w:rPr>
          <w:rFonts w:cs="FrankRuehl" w:hint="cs"/>
          <w:sz w:val="26"/>
          <w:szCs w:val="26"/>
          <w:rtl/>
        </w:rPr>
        <w:t xml:space="preserve"> לפי הריטב"א?  למה אומרים מיגו לפי הריטב"א?  מה הקשה גדולי הדורות על הריטב"א?  מה הקשה הר"ן על הריטב"א?  כיצד ביאר הר"ן למה אומרים מיגו?</w:t>
      </w:r>
    </w:p>
    <w:p w:rsidR="00936991" w:rsidRPr="00B810B3" w:rsidRDefault="00B810B3" w:rsidP="00936991">
      <w:pPr>
        <w:spacing w:after="0" w:line="240" w:lineRule="auto"/>
        <w:rPr>
          <w:rFonts w:cs="FrankRuehl"/>
          <w:sz w:val="26"/>
          <w:szCs w:val="26"/>
          <w:rtl/>
        </w:rPr>
      </w:pPr>
      <w:r>
        <w:rPr>
          <w:rFonts w:cs="FrankRuehl" w:hint="cs"/>
          <w:sz w:val="26"/>
          <w:szCs w:val="26"/>
          <w:rtl/>
        </w:rPr>
        <w:t>[ר"ן (ג. ברי"ף ד"ה ואמר רבא), ריטב"א שם (ד"ה אמר, והקשו, אלא), מאירי שם (ד"ה אע"פ)]</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19.  </w:t>
      </w:r>
      <w:r w:rsidRPr="00936991">
        <w:rPr>
          <w:rFonts w:cs="FrankRuehl" w:hint="cs"/>
          <w:sz w:val="26"/>
          <w:szCs w:val="26"/>
          <w:rtl/>
        </w:rPr>
        <w:t xml:space="preserve">כיצד מועיל דין מיגו </w:t>
      </w:r>
      <w:r w:rsidRPr="00936991">
        <w:rPr>
          <w:rFonts w:cs="FrankRuehl"/>
          <w:sz w:val="26"/>
          <w:szCs w:val="26"/>
          <w:rtl/>
        </w:rPr>
        <w:t>–</w:t>
      </w:r>
      <w:r w:rsidRPr="00936991">
        <w:rPr>
          <w:rFonts w:cs="FrankRuehl" w:hint="cs"/>
          <w:sz w:val="26"/>
          <w:szCs w:val="26"/>
          <w:rtl/>
        </w:rPr>
        <w:t xml:space="preserve"> לפי המרחשת?  במה נחלקו אביי ורבא </w:t>
      </w:r>
      <w:r w:rsidRPr="00936991">
        <w:rPr>
          <w:rFonts w:cs="FrankRuehl"/>
          <w:sz w:val="26"/>
          <w:szCs w:val="26"/>
          <w:rtl/>
        </w:rPr>
        <w:t>–</w:t>
      </w:r>
      <w:r w:rsidRPr="00936991">
        <w:rPr>
          <w:rFonts w:cs="FrankRuehl" w:hint="cs"/>
          <w:sz w:val="26"/>
          <w:szCs w:val="26"/>
          <w:rtl/>
        </w:rPr>
        <w:t xml:space="preserve"> לפי המרחשת?  מה עדיין קשה לפי שיטת הר"ן?  מה תירץ על זה המאירי?</w:t>
      </w:r>
    </w:p>
    <w:p w:rsidR="00936991" w:rsidRDefault="00B810B3" w:rsidP="00936991">
      <w:pPr>
        <w:spacing w:after="0" w:line="240" w:lineRule="auto"/>
        <w:rPr>
          <w:rFonts w:cs="FrankRuehl"/>
          <w:sz w:val="26"/>
          <w:szCs w:val="26"/>
          <w:rtl/>
        </w:rPr>
      </w:pPr>
      <w:r>
        <w:rPr>
          <w:rFonts w:cs="FrankRuehl" w:hint="cs"/>
          <w:sz w:val="26"/>
          <w:szCs w:val="26"/>
          <w:rtl/>
        </w:rPr>
        <w:t>[גמ' (ז.), מרחשת (ח"א סי' טז), ר"ן (ד"ה ואמר), מאירי שם]</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20.  </w:t>
      </w:r>
      <w:r w:rsidRPr="00936991">
        <w:rPr>
          <w:rFonts w:cs="FrankRuehl" w:hint="cs"/>
          <w:sz w:val="26"/>
          <w:szCs w:val="26"/>
          <w:rtl/>
        </w:rPr>
        <w:t>מבואר במתני' (ב.) שאם חמתה מרובה מצלתה הסוכה פסולה.  במה נחלקו ת"ק ור' יאשיה בדין זה?  האם לר' יאשיה צריך לעשות הדפנות מפסולת גורן ויקב?  ולמה?  תן שיטות הראבי"ה והתוס' בזה (לפי המהרש"ל, ולפי המהרש"א), ובאר דבריהם.</w:t>
      </w:r>
    </w:p>
    <w:p w:rsidR="00936991" w:rsidRDefault="00B810B3" w:rsidP="00B810B3">
      <w:pPr>
        <w:spacing w:after="0" w:line="240" w:lineRule="auto"/>
        <w:rPr>
          <w:rFonts w:cs="FrankRuehl"/>
          <w:sz w:val="26"/>
          <w:szCs w:val="26"/>
          <w:rtl/>
        </w:rPr>
      </w:pPr>
      <w:r>
        <w:rPr>
          <w:rFonts w:cs="FrankRuehl" w:hint="cs"/>
          <w:sz w:val="26"/>
          <w:szCs w:val="26"/>
          <w:rtl/>
        </w:rPr>
        <w:t>[גמ' (ז:), מרדכי (סי' תשלא), תוס' (ז: ד"ה מחיצה) וחכמת שלמה ומהרש"א שם, פנ"י על התוס' שם]</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21.  </w:t>
      </w:r>
      <w:r w:rsidRPr="00936991">
        <w:rPr>
          <w:rFonts w:cs="FrankRuehl" w:hint="cs"/>
          <w:sz w:val="26"/>
          <w:szCs w:val="26"/>
          <w:rtl/>
        </w:rPr>
        <w:t xml:space="preserve">"אמר רבי לוי משום ר"מ שתי סוכות של יוצרים זו לפנים מזו הפנימית אינה סוכה וחייבת במזוזה והחיצונה סוכה ופטורה מן המזוזה."  למה הפנימית אינה סוכה </w:t>
      </w:r>
      <w:r w:rsidRPr="00936991">
        <w:rPr>
          <w:rFonts w:cs="FrankRuehl"/>
          <w:sz w:val="26"/>
          <w:szCs w:val="26"/>
          <w:rtl/>
        </w:rPr>
        <w:t>–</w:t>
      </w:r>
      <w:r w:rsidRPr="00936991">
        <w:rPr>
          <w:rFonts w:cs="FrankRuehl" w:hint="cs"/>
          <w:sz w:val="26"/>
          <w:szCs w:val="26"/>
          <w:rtl/>
        </w:rPr>
        <w:t xml:space="preserve"> לפי רש"י, ולפי הר"ן\והריטב"א?  ולמה החיצונה פטורה מן המזוזה?</w:t>
      </w:r>
    </w:p>
    <w:p w:rsidR="00936991" w:rsidRDefault="00B810B3" w:rsidP="00B810B3">
      <w:pPr>
        <w:spacing w:after="0" w:line="240" w:lineRule="auto"/>
        <w:rPr>
          <w:rFonts w:cs="FrankRuehl"/>
          <w:sz w:val="26"/>
          <w:szCs w:val="26"/>
          <w:rtl/>
        </w:rPr>
      </w:pPr>
      <w:r>
        <w:rPr>
          <w:rFonts w:cs="FrankRuehl" w:hint="cs"/>
          <w:sz w:val="26"/>
          <w:szCs w:val="26"/>
          <w:rtl/>
        </w:rPr>
        <w:t>[גמ' (ח:), ורש"י שם (ד"ה פנימית, משום), ר"ן (ד. ברי"ף ד"ה שתי)]</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lastRenderedPageBreak/>
        <w:t xml:space="preserve">22.  </w:t>
      </w:r>
      <w:r w:rsidRPr="00936991">
        <w:rPr>
          <w:rFonts w:cs="FrankRuehl" w:hint="cs"/>
          <w:sz w:val="26"/>
          <w:szCs w:val="26"/>
          <w:rtl/>
        </w:rPr>
        <w:t>האם צריך מעשה אדם בעשיית הסוכה – לפי רש"י, ולפי הרמב"ם\ובעל המאור?  ותן נפקא מינה בין השיטות בענין החוטט בגדיש לעשות לו סוכה?  איזה חידוש של הגרש"ז אויערבאך אפשר לבאר לפי שיטת הרמב"ם?  מה פירוש "סוכת בהמה" לפי רש"י?  באר.</w:t>
      </w:r>
    </w:p>
    <w:p w:rsidR="00936991" w:rsidRDefault="00B810B3" w:rsidP="00936991">
      <w:pPr>
        <w:spacing w:after="0" w:line="240" w:lineRule="auto"/>
        <w:rPr>
          <w:rFonts w:cs="FrankRuehl"/>
          <w:sz w:val="26"/>
          <w:szCs w:val="26"/>
          <w:rtl/>
        </w:rPr>
      </w:pPr>
      <w:r>
        <w:rPr>
          <w:rFonts w:cs="FrankRuehl" w:hint="cs"/>
          <w:sz w:val="26"/>
          <w:szCs w:val="26"/>
          <w:rtl/>
        </w:rPr>
        <w:t>[רש"י (יא. ד"ה אכשורי), רמב"ם הל' סוכה (פ"ה ה"ט), בעה"מ (ו: ברי"ף), בה"ל (סי' תרלה ד"ה אבל), מאירי (ח: ד"ה סוכת)</w:t>
      </w:r>
      <w:r w:rsidR="0079054A">
        <w:rPr>
          <w:rFonts w:cs="FrankRuehl" w:hint="cs"/>
          <w:sz w:val="26"/>
          <w:szCs w:val="26"/>
          <w:rtl/>
        </w:rPr>
        <w:t xml:space="preserve"> וגליוני הש"ס שם</w:t>
      </w:r>
      <w:r>
        <w:rPr>
          <w:rFonts w:cs="FrankRuehl" w:hint="cs"/>
          <w:sz w:val="26"/>
          <w:szCs w:val="26"/>
          <w:rtl/>
        </w:rPr>
        <w:t>]</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23.  </w:t>
      </w:r>
      <w:r w:rsidRPr="00936991">
        <w:rPr>
          <w:rFonts w:cs="FrankRuehl" w:hint="cs"/>
          <w:sz w:val="26"/>
          <w:szCs w:val="26"/>
          <w:rtl/>
        </w:rPr>
        <w:t xml:space="preserve">מבואר בגמ' (ח:) דסוכת גנב"ך כשרה רק אם עשאה לצל סוכה.  כיצד פירש רש"י ענין זה?  מה הקשה עליו הפני יהושע (ב:)?  מה תירץ הנצי"ב?  כיצד פירשו הר"ן\והריטב"א ענין זה של "עשאה לצל סוכה"?  למה רש"י לא רצה לפרש כמו הר"ן\והריטב"א </w:t>
      </w:r>
      <w:r w:rsidRPr="00936991">
        <w:rPr>
          <w:rFonts w:cs="FrankRuehl"/>
          <w:sz w:val="26"/>
          <w:szCs w:val="26"/>
          <w:rtl/>
        </w:rPr>
        <w:t>–</w:t>
      </w:r>
      <w:r w:rsidRPr="00936991">
        <w:rPr>
          <w:rFonts w:cs="FrankRuehl" w:hint="cs"/>
          <w:sz w:val="26"/>
          <w:szCs w:val="26"/>
          <w:rtl/>
        </w:rPr>
        <w:t xml:space="preserve"> לפי הערוך לנר, ולפי הב"ח?</w:t>
      </w:r>
    </w:p>
    <w:p w:rsidR="00936991" w:rsidRDefault="00E30342" w:rsidP="00936991">
      <w:pPr>
        <w:spacing w:after="0" w:line="240" w:lineRule="auto"/>
        <w:rPr>
          <w:rFonts w:cs="FrankRuehl"/>
          <w:sz w:val="26"/>
          <w:szCs w:val="26"/>
          <w:rtl/>
        </w:rPr>
      </w:pPr>
      <w:r>
        <w:rPr>
          <w:rFonts w:cs="FrankRuehl" w:hint="cs"/>
          <w:sz w:val="26"/>
          <w:szCs w:val="26"/>
          <w:rtl/>
        </w:rPr>
        <w:t>[רש"י (ח: ד"ה אמר), פנ"י (ב:), נצי"ב (ח:), ר"ן (ד. ברי"ף ד"ה סוכת), ערוך לנר (ח:) וב"ח (סי' תרלה)]</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24.  </w:t>
      </w:r>
      <w:r w:rsidRPr="00936991">
        <w:rPr>
          <w:rFonts w:cs="FrankRuehl" w:hint="cs"/>
          <w:sz w:val="26"/>
          <w:szCs w:val="26"/>
          <w:rtl/>
        </w:rPr>
        <w:t>כיצד פירש הרא"ש בשם ר"ת הא דסוכת גנב"ך כשרה רק אם עשאה לצל סוכה?  מה קשה בדברי הטור בדעת אביו הרא"ש בזה?  מה תירץ על זה הב"י?  מה הוסיף החידושי הגהות בביאור הדבר?</w:t>
      </w:r>
    </w:p>
    <w:p w:rsidR="00936991" w:rsidRDefault="00E30342" w:rsidP="00936991">
      <w:pPr>
        <w:spacing w:after="0" w:line="240" w:lineRule="auto"/>
        <w:rPr>
          <w:rFonts w:cs="FrankRuehl"/>
          <w:sz w:val="26"/>
          <w:szCs w:val="26"/>
          <w:rtl/>
        </w:rPr>
      </w:pPr>
      <w:r>
        <w:rPr>
          <w:rFonts w:cs="FrankRuehl" w:hint="cs"/>
          <w:sz w:val="26"/>
          <w:szCs w:val="26"/>
          <w:rtl/>
        </w:rPr>
        <w:t>[רא"ש (סי' יב), טור (סי' תרלא ס"ג) וב"י וחידושי הגהות שם]</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25.  </w:t>
      </w:r>
      <w:r w:rsidRPr="00936991">
        <w:rPr>
          <w:rFonts w:cs="FrankRuehl" w:hint="cs"/>
          <w:sz w:val="26"/>
          <w:szCs w:val="26"/>
          <w:rtl/>
        </w:rPr>
        <w:t>האם סוכה כשירה אם עשאה יותר מל' יום קודם לחג?  מה כתב רש"י בטעם הדבר דסוכה שעשאה תוך ל' יום לחג כשירה?  מה קשה עליו מדבריו בתחילת המשנה?  תן ב' דרכים ליישב הקושיא.</w:t>
      </w:r>
    </w:p>
    <w:p w:rsidR="00936991" w:rsidRDefault="00E30342" w:rsidP="00936991">
      <w:pPr>
        <w:spacing w:after="0" w:line="240" w:lineRule="auto"/>
        <w:rPr>
          <w:rFonts w:cs="FrankRuehl"/>
          <w:sz w:val="26"/>
          <w:szCs w:val="26"/>
          <w:rtl/>
        </w:rPr>
      </w:pPr>
      <w:r>
        <w:rPr>
          <w:rFonts w:cs="FrankRuehl" w:hint="cs"/>
          <w:sz w:val="26"/>
          <w:szCs w:val="26"/>
          <w:rtl/>
        </w:rPr>
        <w:t>[משנה (ט.) ורש"י, שפת אמת שם, מהר"ץ חיות שם]</w:t>
      </w:r>
    </w:p>
    <w:p w:rsidR="00936991" w:rsidRPr="00936991" w:rsidRDefault="00936991" w:rsidP="00936991">
      <w:pPr>
        <w:spacing w:after="0" w:line="240" w:lineRule="auto"/>
        <w:rPr>
          <w:rFonts w:cs="FrankRuehl"/>
          <w:sz w:val="26"/>
          <w:szCs w:val="26"/>
          <w:rtl/>
        </w:rPr>
      </w:pPr>
    </w:p>
    <w:p w:rsidR="00936991" w:rsidRPr="00936991" w:rsidRDefault="00936991" w:rsidP="002D15F7">
      <w:pPr>
        <w:spacing w:after="0" w:line="240" w:lineRule="auto"/>
        <w:rPr>
          <w:rFonts w:cs="FrankRuehl"/>
          <w:sz w:val="26"/>
          <w:szCs w:val="26"/>
          <w:rtl/>
        </w:rPr>
      </w:pPr>
      <w:r>
        <w:rPr>
          <w:rFonts w:cs="FrankRuehl" w:hint="cs"/>
          <w:sz w:val="26"/>
          <w:szCs w:val="26"/>
          <w:rtl/>
        </w:rPr>
        <w:t>26.</w:t>
      </w:r>
      <w:r>
        <w:rPr>
          <w:rFonts w:cs="FrankRuehl" w:hint="cs"/>
          <w:sz w:val="26"/>
          <w:szCs w:val="26"/>
          <w:rtl/>
        </w:rPr>
        <w:tab/>
      </w:r>
      <w:r w:rsidRPr="00936991">
        <w:rPr>
          <w:rFonts w:cs="FrankRuehl" w:hint="cs"/>
          <w:sz w:val="26"/>
          <w:szCs w:val="26"/>
          <w:rtl/>
        </w:rPr>
        <w:t xml:space="preserve">א)  מבואר בירושלמי דלדעת ב"ה צריך לחדש דבר בסוכה ישנה.  האם הסוכה כשירה אם לא חידש בה דבר?  באיזה חלק מן הסוכה יכול לחדש </w:t>
      </w:r>
      <w:r w:rsidRPr="00936991">
        <w:rPr>
          <w:rFonts w:cs="FrankRuehl"/>
          <w:sz w:val="26"/>
          <w:szCs w:val="26"/>
          <w:rtl/>
        </w:rPr>
        <w:t>–</w:t>
      </w:r>
      <w:r w:rsidRPr="00936991">
        <w:rPr>
          <w:rFonts w:cs="FrankRuehl" w:hint="cs"/>
          <w:sz w:val="26"/>
          <w:szCs w:val="26"/>
          <w:rtl/>
        </w:rPr>
        <w:t xml:space="preserve"> לפי הפרי מגדים בדעת הט"ז?  מה הקשה עליו הביכורי יעקב?  מה תירץ השער הציון?  מה קשה בדברי השע</w:t>
      </w:r>
      <w:r w:rsidR="002D15F7">
        <w:rPr>
          <w:rFonts w:cs="FrankRuehl" w:hint="cs"/>
          <w:sz w:val="26"/>
          <w:szCs w:val="26"/>
          <w:rtl/>
        </w:rPr>
        <w:t>ה"צ</w:t>
      </w:r>
      <w:r w:rsidRPr="00936991">
        <w:rPr>
          <w:rFonts w:cs="FrankRuehl" w:hint="cs"/>
          <w:sz w:val="26"/>
          <w:szCs w:val="26"/>
          <w:rtl/>
        </w:rPr>
        <w:t>?  כיצד אפשר ליישב קושית הביכורי יעקב באופן אחר?</w:t>
      </w:r>
    </w:p>
    <w:p w:rsidR="00936991" w:rsidRPr="00936991" w:rsidRDefault="00936991" w:rsidP="00936991">
      <w:pPr>
        <w:spacing w:after="0" w:line="240" w:lineRule="auto"/>
        <w:ind w:firstLine="360"/>
        <w:rPr>
          <w:rFonts w:cs="FrankRuehl"/>
          <w:sz w:val="26"/>
          <w:szCs w:val="26"/>
          <w:rtl/>
        </w:rPr>
      </w:pPr>
      <w:r w:rsidRPr="00936991">
        <w:rPr>
          <w:rFonts w:cs="FrankRuehl" w:hint="cs"/>
          <w:sz w:val="26"/>
          <w:szCs w:val="26"/>
          <w:rtl/>
        </w:rPr>
        <w:t>ב)  מה חידש הבה"ג בדין זה ד"צריך לחדש בה דבר"?  כיצד אפשר לבאר שיטתו?</w:t>
      </w:r>
    </w:p>
    <w:p w:rsidR="00936991" w:rsidRDefault="00E30342" w:rsidP="00936991">
      <w:pPr>
        <w:spacing w:after="0" w:line="240" w:lineRule="auto"/>
        <w:rPr>
          <w:rFonts w:cs="FrankRuehl"/>
          <w:sz w:val="26"/>
          <w:szCs w:val="26"/>
          <w:rtl/>
        </w:rPr>
      </w:pPr>
      <w:r>
        <w:rPr>
          <w:rFonts w:cs="FrankRuehl" w:hint="cs"/>
          <w:sz w:val="26"/>
          <w:szCs w:val="26"/>
          <w:rtl/>
        </w:rPr>
        <w:t>[תוס' (ט. ד"ה סוכה), ר"ן (א. ברי"ף), ב"י (סי' תרלו), ט"ז שם (ס"ק א) ופמ"ג וביכורי יעקב שם, שעה"צ שם (ס"ק שם ס"ק ז), ריטב"א (מו.), רא"ש (סי' יג) בשם בה"ג]</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tl/>
        </w:rPr>
      </w:pPr>
      <w:r>
        <w:rPr>
          <w:rFonts w:cs="FrankRuehl" w:hint="cs"/>
          <w:sz w:val="26"/>
          <w:szCs w:val="26"/>
          <w:rtl/>
        </w:rPr>
        <w:t xml:space="preserve">27.  </w:t>
      </w:r>
      <w:r w:rsidRPr="00936991">
        <w:rPr>
          <w:rFonts w:cs="FrankRuehl" w:hint="cs"/>
          <w:sz w:val="26"/>
          <w:szCs w:val="26"/>
          <w:rtl/>
        </w:rPr>
        <w:t>למה צריך לחדש דבר בסוכה ישנה לפי ב"ה?  תן ג' טעמים בזה, ונפקא מינה ביניהם.</w:t>
      </w:r>
    </w:p>
    <w:p w:rsidR="00936991" w:rsidRDefault="00E30342" w:rsidP="00936991">
      <w:pPr>
        <w:spacing w:after="0" w:line="240" w:lineRule="auto"/>
        <w:rPr>
          <w:rFonts w:cs="FrankRuehl"/>
          <w:sz w:val="26"/>
          <w:szCs w:val="26"/>
          <w:rtl/>
        </w:rPr>
      </w:pPr>
      <w:r>
        <w:rPr>
          <w:rFonts w:cs="FrankRuehl" w:hint="cs"/>
          <w:sz w:val="26"/>
          <w:szCs w:val="26"/>
          <w:rtl/>
        </w:rPr>
        <w:t>[או"ז הל' תפילין (סי' תקלג), מ"ב (סי' תרלו ס"ק ד), ב"ח (סי' תרלו ס"א), ט"ז שם (ס"ק ג)]</w:t>
      </w:r>
    </w:p>
    <w:p w:rsidR="00936991" w:rsidRPr="00936991" w:rsidRDefault="00936991" w:rsidP="00936991">
      <w:pPr>
        <w:spacing w:after="0" w:line="240" w:lineRule="auto"/>
        <w:rPr>
          <w:rFonts w:cs="FrankRuehl"/>
          <w:sz w:val="26"/>
          <w:szCs w:val="26"/>
          <w:rtl/>
        </w:rPr>
      </w:pPr>
    </w:p>
    <w:p w:rsidR="00936991" w:rsidRPr="00936991" w:rsidRDefault="00936991" w:rsidP="00E30342">
      <w:pPr>
        <w:spacing w:after="0" w:line="240" w:lineRule="auto"/>
        <w:rPr>
          <w:rFonts w:cs="FrankRuehl"/>
          <w:sz w:val="26"/>
          <w:szCs w:val="26"/>
          <w:rtl/>
        </w:rPr>
      </w:pPr>
      <w:r>
        <w:rPr>
          <w:rFonts w:cs="FrankRuehl" w:hint="cs"/>
          <w:sz w:val="26"/>
          <w:szCs w:val="26"/>
          <w:rtl/>
        </w:rPr>
        <w:t xml:space="preserve">28.  </w:t>
      </w:r>
      <w:r w:rsidRPr="00936991">
        <w:rPr>
          <w:rFonts w:cs="FrankRuehl" w:hint="cs"/>
          <w:sz w:val="26"/>
          <w:szCs w:val="26"/>
          <w:rtl/>
        </w:rPr>
        <w:t xml:space="preserve">מבואר בגמ' (ט.) דעצי סוכה אסורין כל שבעה.  איזה הנאה אסורה בעצי סוכה </w:t>
      </w:r>
      <w:r w:rsidRPr="00936991">
        <w:rPr>
          <w:rFonts w:cs="FrankRuehl"/>
          <w:sz w:val="26"/>
          <w:szCs w:val="26"/>
          <w:rtl/>
        </w:rPr>
        <w:t>–</w:t>
      </w:r>
      <w:r w:rsidRPr="00936991">
        <w:rPr>
          <w:rFonts w:cs="FrankRuehl" w:hint="cs"/>
          <w:sz w:val="26"/>
          <w:szCs w:val="26"/>
          <w:rtl/>
        </w:rPr>
        <w:t xml:space="preserve"> לדעת הט"ז, העונג יו"ט, והביכורי יעקב?  ותן נפקא מינה למעשה ביניהם.  מה היא שיטת הרמב"ם </w:t>
      </w:r>
      <w:r w:rsidR="00E30342">
        <w:rPr>
          <w:rFonts w:cs="FrankRuehl" w:hint="cs"/>
          <w:sz w:val="26"/>
          <w:szCs w:val="26"/>
          <w:rtl/>
        </w:rPr>
        <w:t>ו</w:t>
      </w:r>
      <w:r w:rsidRPr="00936991">
        <w:rPr>
          <w:rFonts w:cs="FrankRuehl" w:hint="cs"/>
          <w:sz w:val="26"/>
          <w:szCs w:val="26"/>
          <w:rtl/>
        </w:rPr>
        <w:t>שיטת התוס' בשבת</w:t>
      </w:r>
      <w:r w:rsidR="00E30342">
        <w:rPr>
          <w:rFonts w:cs="FrankRuehl" w:hint="cs"/>
          <w:sz w:val="26"/>
          <w:szCs w:val="26"/>
          <w:rtl/>
        </w:rPr>
        <w:t xml:space="preserve"> בזה</w:t>
      </w:r>
      <w:r w:rsidRPr="00936991">
        <w:rPr>
          <w:rFonts w:cs="FrankRuehl" w:hint="cs"/>
          <w:sz w:val="26"/>
          <w:szCs w:val="26"/>
          <w:rtl/>
        </w:rPr>
        <w:t>?</w:t>
      </w:r>
    </w:p>
    <w:p w:rsidR="00936991" w:rsidRDefault="00E30342" w:rsidP="00936991">
      <w:pPr>
        <w:spacing w:after="0" w:line="240" w:lineRule="auto"/>
        <w:rPr>
          <w:rFonts w:cs="FrankRuehl"/>
          <w:sz w:val="26"/>
          <w:szCs w:val="26"/>
          <w:rtl/>
        </w:rPr>
      </w:pPr>
      <w:r>
        <w:rPr>
          <w:rFonts w:cs="FrankRuehl" w:hint="cs"/>
          <w:sz w:val="26"/>
          <w:szCs w:val="26"/>
          <w:rtl/>
        </w:rPr>
        <w:t>[ט"ז (סי' תרלח ס"ק ג) וביכורי יעקב שם, עונג יו"ט (סי' מט), רמב"ם הל' סוכה (פ"ו הט"ו-ט"ז)</w:t>
      </w:r>
      <w:r w:rsidR="00DC6E55">
        <w:rPr>
          <w:rFonts w:cs="FrankRuehl" w:hint="cs"/>
          <w:sz w:val="26"/>
          <w:szCs w:val="26"/>
          <w:rtl/>
        </w:rPr>
        <w:t>, תוס' שבת (כב. ד"ה אבוהון)]</w:t>
      </w:r>
    </w:p>
    <w:p w:rsidR="00936991" w:rsidRPr="00936991" w:rsidRDefault="00936991" w:rsidP="00936991">
      <w:pPr>
        <w:spacing w:after="0" w:line="240" w:lineRule="auto"/>
        <w:rPr>
          <w:rFonts w:cs="FrankRuehl"/>
          <w:sz w:val="26"/>
          <w:szCs w:val="26"/>
          <w:rtl/>
        </w:rPr>
      </w:pPr>
    </w:p>
    <w:p w:rsidR="00936991" w:rsidRPr="00936991" w:rsidRDefault="00936991" w:rsidP="001940E1">
      <w:pPr>
        <w:spacing w:after="0" w:line="240" w:lineRule="auto"/>
        <w:rPr>
          <w:rFonts w:cs="FrankRuehl"/>
          <w:sz w:val="26"/>
          <w:szCs w:val="26"/>
          <w:rtl/>
        </w:rPr>
      </w:pPr>
      <w:r>
        <w:rPr>
          <w:rFonts w:cs="FrankRuehl" w:hint="cs"/>
          <w:sz w:val="26"/>
          <w:szCs w:val="26"/>
          <w:rtl/>
        </w:rPr>
        <w:t xml:space="preserve">29.  </w:t>
      </w:r>
      <w:r w:rsidRPr="00936991">
        <w:rPr>
          <w:rFonts w:cs="FrankRuehl" w:hint="cs"/>
          <w:sz w:val="26"/>
          <w:szCs w:val="26"/>
          <w:rtl/>
        </w:rPr>
        <w:t xml:space="preserve">הקשו התוס' דבגמ' (ט.) משמע דאיסור הנאה בעצי סוכה הוא מה"ת, ואילו בגמ' שבת (מה.) משמע דאסור </w:t>
      </w:r>
      <w:r w:rsidR="001940E1">
        <w:rPr>
          <w:rFonts w:cs="FrankRuehl" w:hint="cs"/>
          <w:sz w:val="26"/>
          <w:szCs w:val="26"/>
          <w:rtl/>
        </w:rPr>
        <w:t>רק</w:t>
      </w:r>
      <w:r w:rsidRPr="00936991">
        <w:rPr>
          <w:rFonts w:cs="FrankRuehl" w:hint="cs"/>
          <w:sz w:val="26"/>
          <w:szCs w:val="26"/>
          <w:rtl/>
        </w:rPr>
        <w:t xml:space="preserve"> מדרבנן מטעם מוקצה.  כיצד אפשר ליישב קושיא זו </w:t>
      </w:r>
      <w:r w:rsidRPr="00936991">
        <w:rPr>
          <w:rFonts w:cs="FrankRuehl"/>
          <w:sz w:val="26"/>
          <w:szCs w:val="26"/>
          <w:rtl/>
        </w:rPr>
        <w:t>–</w:t>
      </w:r>
      <w:r w:rsidRPr="00936991">
        <w:rPr>
          <w:rFonts w:cs="FrankRuehl" w:hint="cs"/>
          <w:sz w:val="26"/>
          <w:szCs w:val="26"/>
          <w:rtl/>
        </w:rPr>
        <w:t xml:space="preserve"> לפי רש"י והמאירי?  מה תירצו התוס'?  ומה תירץ ר"ת?  כיצד ביאר הפני יהושע את תירוץ התוס'?  האם הט"ז מסכים לתירוץ התוס'?  באר.</w:t>
      </w:r>
    </w:p>
    <w:p w:rsidR="00936991" w:rsidRDefault="00DC6E55" w:rsidP="00936991">
      <w:pPr>
        <w:spacing w:after="0" w:line="240" w:lineRule="auto"/>
        <w:rPr>
          <w:rFonts w:cs="FrankRuehl"/>
          <w:sz w:val="26"/>
          <w:szCs w:val="26"/>
          <w:rtl/>
        </w:rPr>
      </w:pPr>
      <w:r>
        <w:rPr>
          <w:rFonts w:cs="FrankRuehl" w:hint="cs"/>
          <w:sz w:val="26"/>
          <w:szCs w:val="26"/>
          <w:rtl/>
        </w:rPr>
        <w:t>[תוס' (ט. ד"ה מנין), רש"י (לז: ד"ה אסור), מאירי ריש ביצה, פני יהושע על התוס' שם]</w:t>
      </w:r>
    </w:p>
    <w:p w:rsidR="00936991" w:rsidRPr="00936991" w:rsidRDefault="00936991" w:rsidP="00936991">
      <w:pPr>
        <w:spacing w:after="0" w:line="240" w:lineRule="auto"/>
        <w:rPr>
          <w:rFonts w:cs="FrankRuehl"/>
          <w:sz w:val="26"/>
          <w:szCs w:val="26"/>
          <w:rtl/>
        </w:rPr>
      </w:pPr>
    </w:p>
    <w:p w:rsidR="00936991" w:rsidRPr="00936991" w:rsidRDefault="00936991" w:rsidP="00936991">
      <w:pPr>
        <w:spacing w:after="0" w:line="240" w:lineRule="auto"/>
        <w:rPr>
          <w:rFonts w:cs="FrankRuehl"/>
          <w:sz w:val="26"/>
          <w:szCs w:val="26"/>
        </w:rPr>
      </w:pPr>
      <w:r>
        <w:rPr>
          <w:rFonts w:cs="FrankRuehl" w:hint="cs"/>
          <w:sz w:val="26"/>
          <w:szCs w:val="26"/>
          <w:rtl/>
        </w:rPr>
        <w:t xml:space="preserve">30.  </w:t>
      </w:r>
      <w:r w:rsidRPr="00936991">
        <w:rPr>
          <w:rFonts w:cs="FrankRuehl" w:hint="cs"/>
          <w:sz w:val="26"/>
          <w:szCs w:val="26"/>
          <w:rtl/>
        </w:rPr>
        <w:t xml:space="preserve">מה הוסיפו התוס' בביצה בביאור דעת ר"ת?  מה קשה על זה?  כיצד ביאר הביאור הלכה בדעת ר"ת </w:t>
      </w:r>
      <w:r w:rsidRPr="00936991">
        <w:rPr>
          <w:rFonts w:cs="FrankRuehl"/>
          <w:sz w:val="26"/>
          <w:szCs w:val="26"/>
          <w:rtl/>
        </w:rPr>
        <w:t>–</w:t>
      </w:r>
      <w:r w:rsidRPr="00936991">
        <w:rPr>
          <w:rFonts w:cs="FrankRuehl" w:hint="cs"/>
          <w:sz w:val="26"/>
          <w:szCs w:val="26"/>
          <w:rtl/>
        </w:rPr>
        <w:t xml:space="preserve"> לפי הר"ן בביצה?  מה החילוק בין ר"ת והר"ן?  כיצד ביאר הגרי"ד בדעת ר"ת?</w:t>
      </w:r>
    </w:p>
    <w:p w:rsidR="003F2164" w:rsidRDefault="00DC6E55" w:rsidP="00936991">
      <w:pPr>
        <w:spacing w:after="0" w:line="240" w:lineRule="auto"/>
        <w:rPr>
          <w:rFonts w:cs="FrankRuehl"/>
          <w:sz w:val="26"/>
          <w:szCs w:val="26"/>
          <w:rtl/>
        </w:rPr>
      </w:pPr>
      <w:r>
        <w:rPr>
          <w:rFonts w:cs="FrankRuehl" w:hint="cs"/>
          <w:sz w:val="26"/>
          <w:szCs w:val="26"/>
          <w:rtl/>
        </w:rPr>
        <w:t>[תוס' ביצה (ל: ד"ה אבל), ר"ן שם (יז. ברי"ף ד"ה ועצי), בה"ל (סי' תרלח ד"ה ואם), גרי"ד]</w:t>
      </w:r>
    </w:p>
    <w:p w:rsidR="00936991" w:rsidRPr="00936991" w:rsidRDefault="00936991" w:rsidP="00936991">
      <w:pPr>
        <w:spacing w:after="0" w:line="240" w:lineRule="auto"/>
        <w:rPr>
          <w:rFonts w:cs="FrankRuehl"/>
          <w:sz w:val="26"/>
          <w:szCs w:val="26"/>
          <w:rtl/>
        </w:rPr>
      </w:pPr>
    </w:p>
    <w:sectPr w:rsidR="00936991" w:rsidRPr="009369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C0"/>
    <w:rsid w:val="000129BF"/>
    <w:rsid w:val="00012B60"/>
    <w:rsid w:val="00017BE7"/>
    <w:rsid w:val="00035131"/>
    <w:rsid w:val="00053B0B"/>
    <w:rsid w:val="000769AE"/>
    <w:rsid w:val="000D57B6"/>
    <w:rsid w:val="00113A73"/>
    <w:rsid w:val="0012581F"/>
    <w:rsid w:val="0015374A"/>
    <w:rsid w:val="00157830"/>
    <w:rsid w:val="001760AF"/>
    <w:rsid w:val="00190313"/>
    <w:rsid w:val="001940E1"/>
    <w:rsid w:val="001A6D7C"/>
    <w:rsid w:val="002374F5"/>
    <w:rsid w:val="002535BB"/>
    <w:rsid w:val="0028553E"/>
    <w:rsid w:val="00295EC8"/>
    <w:rsid w:val="002D15F7"/>
    <w:rsid w:val="00345090"/>
    <w:rsid w:val="00380F4E"/>
    <w:rsid w:val="003B5E02"/>
    <w:rsid w:val="003C61C0"/>
    <w:rsid w:val="003D366D"/>
    <w:rsid w:val="003F2164"/>
    <w:rsid w:val="00432F93"/>
    <w:rsid w:val="00471F64"/>
    <w:rsid w:val="00483CAB"/>
    <w:rsid w:val="004B0531"/>
    <w:rsid w:val="004B5C0A"/>
    <w:rsid w:val="004F18FA"/>
    <w:rsid w:val="00503141"/>
    <w:rsid w:val="0051622D"/>
    <w:rsid w:val="0052377E"/>
    <w:rsid w:val="005B7165"/>
    <w:rsid w:val="00605C13"/>
    <w:rsid w:val="00620833"/>
    <w:rsid w:val="0063181E"/>
    <w:rsid w:val="00645FAC"/>
    <w:rsid w:val="00654EB9"/>
    <w:rsid w:val="00693E64"/>
    <w:rsid w:val="006D67F8"/>
    <w:rsid w:val="007536ED"/>
    <w:rsid w:val="0077081B"/>
    <w:rsid w:val="0079054A"/>
    <w:rsid w:val="008067CD"/>
    <w:rsid w:val="00806FB7"/>
    <w:rsid w:val="00876225"/>
    <w:rsid w:val="008819A5"/>
    <w:rsid w:val="008E0EAC"/>
    <w:rsid w:val="008E22CF"/>
    <w:rsid w:val="00936991"/>
    <w:rsid w:val="00941AF5"/>
    <w:rsid w:val="00945886"/>
    <w:rsid w:val="0098275A"/>
    <w:rsid w:val="00A2533D"/>
    <w:rsid w:val="00A31369"/>
    <w:rsid w:val="00A4015B"/>
    <w:rsid w:val="00A65C5B"/>
    <w:rsid w:val="00AE6610"/>
    <w:rsid w:val="00B03182"/>
    <w:rsid w:val="00B03322"/>
    <w:rsid w:val="00B1269E"/>
    <w:rsid w:val="00B35962"/>
    <w:rsid w:val="00B42343"/>
    <w:rsid w:val="00B72DDB"/>
    <w:rsid w:val="00B77C3D"/>
    <w:rsid w:val="00B810B3"/>
    <w:rsid w:val="00BF4AFD"/>
    <w:rsid w:val="00C6693E"/>
    <w:rsid w:val="00C80CE1"/>
    <w:rsid w:val="00C94767"/>
    <w:rsid w:val="00D017C0"/>
    <w:rsid w:val="00D07084"/>
    <w:rsid w:val="00D12B17"/>
    <w:rsid w:val="00D4227E"/>
    <w:rsid w:val="00D65E03"/>
    <w:rsid w:val="00DA4895"/>
    <w:rsid w:val="00DA6DD2"/>
    <w:rsid w:val="00DB185D"/>
    <w:rsid w:val="00DC6E55"/>
    <w:rsid w:val="00DE0BFB"/>
    <w:rsid w:val="00E03B0D"/>
    <w:rsid w:val="00E11F72"/>
    <w:rsid w:val="00E14E63"/>
    <w:rsid w:val="00E30342"/>
    <w:rsid w:val="00E65FC0"/>
    <w:rsid w:val="00E732D7"/>
    <w:rsid w:val="00E977AB"/>
    <w:rsid w:val="00EF0550"/>
    <w:rsid w:val="00F11724"/>
    <w:rsid w:val="00F40AFE"/>
    <w:rsid w:val="00F5102D"/>
    <w:rsid w:val="00F57085"/>
    <w:rsid w:val="00F7653B"/>
    <w:rsid w:val="00FA5AAA"/>
    <w:rsid w:val="00FA6AFA"/>
    <w:rsid w:val="00FA73EE"/>
    <w:rsid w:val="00FC23CD"/>
    <w:rsid w:val="00FD31F0"/>
    <w:rsid w:val="00FD5972"/>
    <w:rsid w:val="00FD7BF6"/>
    <w:rsid w:val="00FF25F5"/>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Eliakim Koenigsberg</cp:lastModifiedBy>
  <cp:revision>11</cp:revision>
  <cp:lastPrinted>2016-10-27T21:37:00Z</cp:lastPrinted>
  <dcterms:created xsi:type="dcterms:W3CDTF">2017-12-15T03:04:00Z</dcterms:created>
  <dcterms:modified xsi:type="dcterms:W3CDTF">2017-12-21T20:19:00Z</dcterms:modified>
</cp:coreProperties>
</file>